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E472EC" w:rsidRPr="00E472EC" w:rsidTr="00E472EC">
        <w:trPr>
          <w:gridBefore w:val="1"/>
          <w:gridAfter w:val="1"/>
          <w:wBefore w:w="28" w:type="dxa"/>
          <w:wAfter w:w="56" w:type="dxa"/>
        </w:trPr>
        <w:tc>
          <w:tcPr>
            <w:tcW w:w="8718" w:type="dxa"/>
            <w:gridSpan w:val="2"/>
            <w:hideMark/>
          </w:tcPr>
          <w:p w:rsidR="00E472EC" w:rsidRPr="00E472EC" w:rsidRDefault="00F549FC" w:rsidP="00104AA9">
            <w:pPr>
              <w:jc w:val="left"/>
              <w:rPr>
                <w:rStyle w:val="TimesNewRomanTimesNewRoman"/>
                <w:rFonts w:ascii="David" w:hAnsi="David"/>
                <w:rtl/>
              </w:rPr>
            </w:pPr>
            <w:bookmarkStart w:id="0" w:name="_GoBack"/>
            <w:bookmarkEnd w:id="0"/>
            <w:r>
              <w:rPr>
                <w:rtl/>
              </w:rPr>
              <w:t xml:space="preserve"> </w:t>
            </w:r>
            <w:r w:rsidR="00986F0D">
              <w:rPr>
                <w:rtl/>
              </w:rPr>
              <w:t xml:space="preserve"> </w:t>
            </w:r>
            <w:r w:rsidR="00104AA9" w:rsidRPr="00E472EC">
              <w:rPr>
                <w:rFonts w:ascii="David" w:hAnsi="David" w:cs="David"/>
                <w:b/>
                <w:bCs/>
                <w:sz w:val="26"/>
                <w:szCs w:val="26"/>
                <w:rtl/>
              </w:rPr>
              <w:t xml:space="preserve">לפני  כבוד ס. הנשיאה, השופט אשר קולה – אב"ד </w:t>
            </w:r>
            <w:r w:rsidR="00104AA9" w:rsidRPr="00E472EC">
              <w:rPr>
                <w:rFonts w:ascii="David" w:hAnsi="David" w:cs="David"/>
                <w:b/>
                <w:bCs/>
                <w:sz w:val="26"/>
                <w:szCs w:val="26"/>
                <w:rtl/>
              </w:rPr>
              <w:br/>
              <w:t xml:space="preserve">                  כבוד השופט דני צרפתי</w:t>
            </w:r>
          </w:p>
          <w:p w:rsidR="00E472EC" w:rsidRPr="00E472EC" w:rsidRDefault="00104AA9" w:rsidP="00104AA9">
            <w:pPr>
              <w:jc w:val="left"/>
              <w:rPr>
                <w:rFonts w:ascii="David" w:hAnsi="David" w:cs="David"/>
                <w:rtl/>
              </w:rPr>
            </w:pPr>
            <w:r w:rsidRPr="00E472EC">
              <w:rPr>
                <w:rFonts w:ascii="David" w:hAnsi="David" w:cs="David"/>
                <w:b/>
                <w:bCs/>
                <w:sz w:val="26"/>
                <w:szCs w:val="26"/>
                <w:rtl/>
              </w:rPr>
              <w:t xml:space="preserve">                  כבוד השופטת רננה גלפז מוקדי </w:t>
            </w:r>
          </w:p>
        </w:tc>
      </w:tr>
      <w:tr w:rsidR="00E472EC" w:rsidRPr="00E472EC" w:rsidTr="00E472EC">
        <w:trPr>
          <w:cantSplit/>
          <w:trHeight w:val="724"/>
        </w:trPr>
        <w:tc>
          <w:tcPr>
            <w:tcW w:w="2880" w:type="dxa"/>
            <w:gridSpan w:val="2"/>
          </w:tcPr>
          <w:p w:rsidR="00E472EC" w:rsidRPr="00E472EC" w:rsidRDefault="003C78F5" w:rsidP="00104AA9">
            <w:pPr>
              <w:jc w:val="left"/>
              <w:rPr>
                <w:rFonts w:ascii="David" w:hAnsi="David" w:cs="David"/>
                <w:b/>
                <w:bCs/>
                <w:sz w:val="26"/>
                <w:szCs w:val="26"/>
                <w:rtl/>
              </w:rPr>
            </w:pPr>
          </w:p>
          <w:p w:rsidR="00E472EC" w:rsidRPr="00E472EC" w:rsidRDefault="00104AA9" w:rsidP="00104AA9">
            <w:pPr>
              <w:jc w:val="left"/>
              <w:rPr>
                <w:rFonts w:ascii="David" w:hAnsi="David" w:cs="David"/>
                <w:b/>
                <w:bCs/>
                <w:sz w:val="26"/>
                <w:szCs w:val="26"/>
                <w:rtl/>
              </w:rPr>
            </w:pPr>
            <w:r w:rsidRPr="00E472EC">
              <w:rPr>
                <w:rFonts w:ascii="David" w:hAnsi="David" w:cs="David"/>
                <w:b/>
                <w:bCs/>
                <w:sz w:val="26"/>
                <w:szCs w:val="26"/>
                <w:rtl/>
              </w:rPr>
              <w:t>המאשימה</w:t>
            </w:r>
          </w:p>
        </w:tc>
        <w:tc>
          <w:tcPr>
            <w:tcW w:w="5922" w:type="dxa"/>
            <w:gridSpan w:val="2"/>
          </w:tcPr>
          <w:p w:rsidR="00E472EC" w:rsidRPr="00E472EC" w:rsidRDefault="003C78F5" w:rsidP="00104AA9">
            <w:pPr>
              <w:jc w:val="left"/>
              <w:rPr>
                <w:rFonts w:ascii="David" w:hAnsi="David" w:cs="David"/>
                <w:rtl/>
              </w:rPr>
            </w:pPr>
          </w:p>
          <w:p w:rsidR="00E472EC" w:rsidRPr="00E472EC" w:rsidRDefault="00104AA9" w:rsidP="00104AA9">
            <w:pPr>
              <w:jc w:val="left"/>
              <w:rPr>
                <w:rFonts w:ascii="David" w:hAnsi="David" w:cs="David"/>
                <w:b/>
                <w:bCs/>
                <w:sz w:val="26"/>
                <w:szCs w:val="26"/>
                <w:rtl/>
              </w:rPr>
            </w:pPr>
            <w:r w:rsidRPr="00E472EC">
              <w:rPr>
                <w:rFonts w:ascii="David" w:hAnsi="David" w:cs="David"/>
                <w:rtl/>
              </w:rPr>
              <w:t xml:space="preserve"> </w:t>
            </w:r>
            <w:r w:rsidRPr="00E472EC">
              <w:rPr>
                <w:rFonts w:ascii="David" w:hAnsi="David" w:cs="David"/>
                <w:b/>
                <w:bCs/>
                <w:sz w:val="26"/>
                <w:szCs w:val="26"/>
                <w:rtl/>
              </w:rPr>
              <w:t xml:space="preserve">מדינת ישראל </w:t>
            </w:r>
          </w:p>
        </w:tc>
      </w:tr>
      <w:tr w:rsidR="00E472EC" w:rsidRPr="00E472EC" w:rsidTr="00E472EC">
        <w:tc>
          <w:tcPr>
            <w:tcW w:w="8802" w:type="dxa"/>
            <w:gridSpan w:val="4"/>
            <w:vAlign w:val="center"/>
          </w:tcPr>
          <w:p w:rsidR="00E472EC" w:rsidRPr="00E472EC" w:rsidRDefault="003C78F5" w:rsidP="00104AA9">
            <w:pPr>
              <w:jc w:val="left"/>
              <w:rPr>
                <w:rFonts w:ascii="David" w:hAnsi="David" w:cs="David"/>
                <w:b/>
                <w:bCs/>
                <w:sz w:val="26"/>
                <w:szCs w:val="26"/>
                <w:rtl/>
              </w:rPr>
            </w:pPr>
          </w:p>
          <w:p w:rsidR="00E472EC" w:rsidRPr="00E472EC" w:rsidRDefault="00104AA9" w:rsidP="00104AA9">
            <w:pPr>
              <w:jc w:val="center"/>
              <w:rPr>
                <w:rFonts w:ascii="David" w:hAnsi="David" w:cs="David"/>
                <w:b/>
                <w:bCs/>
                <w:sz w:val="26"/>
                <w:szCs w:val="26"/>
                <w:rtl/>
              </w:rPr>
            </w:pPr>
            <w:r w:rsidRPr="00E472EC">
              <w:rPr>
                <w:rFonts w:ascii="David" w:hAnsi="David" w:cs="David"/>
                <w:b/>
                <w:bCs/>
                <w:sz w:val="26"/>
                <w:szCs w:val="26"/>
                <w:rtl/>
              </w:rPr>
              <w:t>נגד</w:t>
            </w:r>
          </w:p>
          <w:p w:rsidR="00E472EC" w:rsidRPr="00E472EC" w:rsidRDefault="003C78F5" w:rsidP="00104AA9">
            <w:pPr>
              <w:jc w:val="left"/>
              <w:rPr>
                <w:rFonts w:ascii="David" w:hAnsi="David" w:cs="David"/>
                <w:b/>
                <w:bCs/>
                <w:sz w:val="26"/>
                <w:szCs w:val="26"/>
                <w:rtl/>
              </w:rPr>
            </w:pPr>
          </w:p>
        </w:tc>
      </w:tr>
      <w:tr w:rsidR="00E472EC" w:rsidRPr="00E472EC" w:rsidTr="00E472EC">
        <w:tc>
          <w:tcPr>
            <w:tcW w:w="2880" w:type="dxa"/>
            <w:gridSpan w:val="2"/>
            <w:hideMark/>
          </w:tcPr>
          <w:p w:rsidR="00E472EC" w:rsidRPr="00E472EC" w:rsidRDefault="00104AA9" w:rsidP="00104AA9">
            <w:pPr>
              <w:jc w:val="left"/>
              <w:rPr>
                <w:rFonts w:ascii="David" w:hAnsi="David" w:cs="David"/>
                <w:b/>
                <w:bCs/>
                <w:sz w:val="26"/>
                <w:szCs w:val="26"/>
                <w:rtl/>
              </w:rPr>
            </w:pPr>
            <w:r w:rsidRPr="00E472EC">
              <w:rPr>
                <w:rFonts w:ascii="David" w:hAnsi="David" w:cs="David"/>
                <w:b/>
                <w:bCs/>
                <w:sz w:val="26"/>
                <w:szCs w:val="26"/>
                <w:rtl/>
              </w:rPr>
              <w:t>הנאשם</w:t>
            </w:r>
          </w:p>
        </w:tc>
        <w:tc>
          <w:tcPr>
            <w:tcW w:w="5922" w:type="dxa"/>
            <w:gridSpan w:val="2"/>
          </w:tcPr>
          <w:p w:rsidR="00E472EC" w:rsidRPr="00E472EC" w:rsidRDefault="00104AA9" w:rsidP="00104AA9">
            <w:pPr>
              <w:jc w:val="left"/>
              <w:rPr>
                <w:rFonts w:ascii="David" w:hAnsi="David" w:cs="David"/>
                <w:b/>
                <w:bCs/>
                <w:sz w:val="26"/>
                <w:szCs w:val="26"/>
                <w:rtl/>
              </w:rPr>
            </w:pPr>
            <w:r w:rsidRPr="00E472EC">
              <w:rPr>
                <w:rFonts w:ascii="David" w:hAnsi="David" w:cs="David"/>
                <w:rtl/>
              </w:rPr>
              <w:t xml:space="preserve"> </w:t>
            </w:r>
            <w:r w:rsidRPr="00E472EC">
              <w:rPr>
                <w:rFonts w:ascii="David" w:hAnsi="David" w:cs="David"/>
                <w:b/>
                <w:bCs/>
                <w:sz w:val="26"/>
                <w:szCs w:val="26"/>
                <w:rtl/>
              </w:rPr>
              <w:t>עאדל הייב (עציר)</w:t>
            </w:r>
            <w:r w:rsidRPr="00E472EC">
              <w:rPr>
                <w:rFonts w:ascii="David" w:hAnsi="David" w:cs="David"/>
                <w:rtl/>
              </w:rPr>
              <w:t xml:space="preserve"> </w:t>
            </w:r>
            <w:r w:rsidRPr="00E472EC">
              <w:rPr>
                <w:rFonts w:ascii="David" w:hAnsi="David" w:cs="David"/>
                <w:b/>
                <w:bCs/>
                <w:sz w:val="26"/>
                <w:szCs w:val="26"/>
                <w:rtl/>
              </w:rPr>
              <w:t xml:space="preserve">ת"ז  029972692 </w:t>
            </w:r>
          </w:p>
          <w:p w:rsidR="00E472EC" w:rsidRPr="00E472EC" w:rsidRDefault="003C78F5" w:rsidP="00104AA9">
            <w:pPr>
              <w:jc w:val="left"/>
              <w:rPr>
                <w:rFonts w:ascii="David" w:hAnsi="David" w:cs="David"/>
                <w:b/>
                <w:bCs/>
                <w:sz w:val="26"/>
                <w:szCs w:val="26"/>
                <w:rtl/>
              </w:rPr>
            </w:pPr>
          </w:p>
        </w:tc>
      </w:tr>
    </w:tbl>
    <w:p w:rsidR="00E472EC" w:rsidRPr="00E472EC" w:rsidRDefault="00104AA9" w:rsidP="002B3EF2">
      <w:r w:rsidRPr="00E472EC">
        <w:rPr>
          <w:b/>
          <w:bCs/>
          <w:u w:val="single"/>
          <w:rtl/>
        </w:rPr>
        <w:t>נוכחים</w:t>
      </w:r>
      <w:r w:rsidRPr="00E472EC">
        <w:rPr>
          <w:rtl/>
        </w:rPr>
        <w:t>:</w:t>
      </w:r>
    </w:p>
    <w:p w:rsidR="00E472EC" w:rsidRPr="00E472EC" w:rsidRDefault="00104AA9" w:rsidP="002B3EF2">
      <w:pPr>
        <w:rPr>
          <w:rtl/>
        </w:rPr>
      </w:pPr>
      <w:r w:rsidRPr="00E472EC">
        <w:rPr>
          <w:rtl/>
        </w:rPr>
        <w:t xml:space="preserve">בשם המאשימה - עו"ד </w:t>
      </w:r>
      <w:r w:rsidR="00F549FC">
        <w:rPr>
          <w:rFonts w:hint="cs"/>
          <w:rtl/>
        </w:rPr>
        <w:t>אלינה קאפמן - חרדק</w:t>
      </w:r>
    </w:p>
    <w:p w:rsidR="00E472EC" w:rsidRPr="00E472EC" w:rsidRDefault="005D09EE" w:rsidP="005D09EE">
      <w:pPr>
        <w:rPr>
          <w:rtl/>
        </w:rPr>
      </w:pPr>
      <w:r>
        <w:rPr>
          <w:rtl/>
        </w:rPr>
        <w:t>בשם הנאשם  - עו"ד פתחי פוקרא</w:t>
      </w:r>
      <w:r>
        <w:rPr>
          <w:rFonts w:hint="cs"/>
          <w:rtl/>
        </w:rPr>
        <w:t>,</w:t>
      </w:r>
      <w:r w:rsidR="00104AA9" w:rsidRPr="00E472EC">
        <w:rPr>
          <w:rtl/>
        </w:rPr>
        <w:t xml:space="preserve"> מטעם הסניגוריה הציבורית </w:t>
      </w:r>
    </w:p>
    <w:p w:rsidR="00E472EC" w:rsidRDefault="00104AA9" w:rsidP="002B3EF2">
      <w:pPr>
        <w:rPr>
          <w:rtl/>
        </w:rPr>
      </w:pPr>
      <w:r w:rsidRPr="00E472EC">
        <w:rPr>
          <w:rtl/>
        </w:rPr>
        <w:t>הנאשם - הובא [ע"י הליווי]</w:t>
      </w:r>
    </w:p>
    <w:p w:rsidR="00374001" w:rsidRDefault="00374001">
      <w:pPr>
        <w:pStyle w:val="12"/>
        <w:rPr>
          <w:b w:val="0"/>
          <w:bCs w:val="0"/>
          <w:u w:val="none"/>
          <w:rtl/>
        </w:rPr>
      </w:pPr>
    </w:p>
    <w:p w:rsidR="00374001" w:rsidRDefault="00374001">
      <w:pPr>
        <w:pStyle w:val="12"/>
        <w:jc w:val="center"/>
        <w:rPr>
          <w:sz w:val="32"/>
          <w:szCs w:val="32"/>
        </w:rPr>
      </w:pPr>
      <w:r>
        <w:rPr>
          <w:rFonts w:hint="cs"/>
          <w:sz w:val="32"/>
          <w:szCs w:val="32"/>
          <w:rtl/>
        </w:rPr>
        <w:t>פרוטוקול</w:t>
      </w:r>
    </w:p>
    <w:p w:rsidR="00374001" w:rsidRDefault="00374001">
      <w:pPr>
        <w:pStyle w:val="David"/>
        <w:rPr>
          <w:rtl/>
        </w:rPr>
      </w:pPr>
    </w:p>
    <w:p w:rsidR="00F549FC" w:rsidRDefault="00F549FC" w:rsidP="005D09EE">
      <w:pPr>
        <w:pStyle w:val="David"/>
        <w:rPr>
          <w:rtl/>
        </w:rPr>
      </w:pPr>
      <w:r w:rsidRPr="00F549FC">
        <w:rPr>
          <w:rFonts w:hint="cs"/>
          <w:b/>
          <w:bCs/>
          <w:u w:val="single"/>
          <w:rtl/>
        </w:rPr>
        <w:t>ב"כ הנאשם</w:t>
      </w:r>
      <w:r>
        <w:rPr>
          <w:rFonts w:hint="cs"/>
          <w:rtl/>
        </w:rPr>
        <w:t>: באשר לבקשה ל</w:t>
      </w:r>
      <w:r w:rsidR="0068226E">
        <w:rPr>
          <w:rFonts w:hint="cs"/>
          <w:rtl/>
        </w:rPr>
        <w:t>הפצת עותק מגזר הדין שהוגשה על ידי כתבת תאגיד השידור</w:t>
      </w:r>
      <w:r w:rsidR="005D09EE">
        <w:rPr>
          <w:rFonts w:hint="cs"/>
          <w:rtl/>
        </w:rPr>
        <w:t>, אני מתנגד לפרסום גזר הדין, כפי שידוע הכרעת הדין זכתה לפרסום רחב ביותר בכלי התקשורת, הסיקור היה עויין ול</w:t>
      </w:r>
      <w:r w:rsidR="0085722E">
        <w:rPr>
          <w:rFonts w:hint="cs"/>
          <w:rtl/>
        </w:rPr>
        <w:t>א אובייקטיבי כלפי הנאשם. חלק מכל</w:t>
      </w:r>
      <w:r w:rsidR="005D09EE">
        <w:rPr>
          <w:rFonts w:hint="cs"/>
          <w:rtl/>
        </w:rPr>
        <w:t xml:space="preserve">י התקשורת פרסמו את תוצאות הכרעת הדין חצי שעה אחרי שניתנה באופן מוטעה מבלי ללמוד אותה ומבלי לעיין בה. הפרסום העויין גרם לנזק מאד משמעותי לנאשם. אין בפרסום אינטרס ציבורי כלשהו בשלב זה, כאשר עסקינן בגז"ד בגין עבירה של הפרת צו פיקוח של עברייני מין. הפרסום יגרום לפגיעה נוספת בנאשם. בקשה זו הינה המשך לשרשרת הכפשה כנגד הנאשם בכלי התקשורת. </w:t>
      </w:r>
    </w:p>
    <w:p w:rsidR="00F549FC" w:rsidRDefault="00F549FC">
      <w:pPr>
        <w:pStyle w:val="David"/>
        <w:rPr>
          <w:rtl/>
        </w:rPr>
      </w:pPr>
    </w:p>
    <w:p w:rsidR="005D09EE" w:rsidRDefault="005D09EE">
      <w:pPr>
        <w:pStyle w:val="David"/>
        <w:rPr>
          <w:sz w:val="6"/>
          <w:szCs w:val="6"/>
          <w:rtl/>
        </w:rPr>
      </w:pPr>
      <w:r>
        <w:rPr>
          <w:sz w:val="6"/>
          <w:szCs w:val="6"/>
          <w:rtl/>
        </w:rPr>
        <w:t>&lt;#9#&gt;</w:t>
      </w:r>
    </w:p>
    <w:p w:rsidR="005D09EE" w:rsidRDefault="005D09EE">
      <w:pPr>
        <w:spacing w:line="360" w:lineRule="auto"/>
        <w:jc w:val="center"/>
        <w:rPr>
          <w:rFonts w:ascii="Arial" w:hAnsi="Arial"/>
          <w:b/>
          <w:bCs/>
          <w:sz w:val="28"/>
          <w:szCs w:val="28"/>
          <w:u w:val="single"/>
          <w:rtl/>
        </w:rPr>
      </w:pPr>
      <w:r>
        <w:rPr>
          <w:rFonts w:ascii="Arial" w:hAnsi="Arial"/>
          <w:b/>
          <w:bCs/>
          <w:sz w:val="28"/>
          <w:szCs w:val="28"/>
          <w:u w:val="single"/>
          <w:rtl/>
        </w:rPr>
        <w:t>החלטה</w:t>
      </w:r>
    </w:p>
    <w:p w:rsidR="005D09EE" w:rsidRDefault="005D09EE">
      <w:pPr>
        <w:spacing w:line="360" w:lineRule="auto"/>
        <w:jc w:val="both"/>
        <w:rPr>
          <w:rtl/>
        </w:rPr>
      </w:pPr>
    </w:p>
    <w:p w:rsidR="005D09EE" w:rsidRDefault="005D09EE" w:rsidP="005D09EE">
      <w:pPr>
        <w:spacing w:line="360" w:lineRule="auto"/>
        <w:jc w:val="both"/>
        <w:rPr>
          <w:rtl/>
        </w:rPr>
      </w:pPr>
      <w:r>
        <w:rPr>
          <w:rFonts w:hint="cs"/>
          <w:rtl/>
        </w:rPr>
        <w:t>לפנינו בקשה לפרסום עותק מגזר הדין. ב"כ המאשימה הסכימה לכך ואילו ב"כ הנאשם מתנגד לכך, בעיקר עקב הפרסום הלא הוגן לטעמו של הכרעת הדין, אשר פורסמה מיד לאחר שזו ניתנה, אף מבלי שמי שפרסם אותה טרח לקרוא אותה או לעיין בה.</w:t>
      </w:r>
    </w:p>
    <w:p w:rsidR="005D09EE" w:rsidRDefault="005D09EE" w:rsidP="005D09EE">
      <w:pPr>
        <w:spacing w:line="360" w:lineRule="auto"/>
        <w:jc w:val="both"/>
        <w:rPr>
          <w:rtl/>
        </w:rPr>
      </w:pPr>
    </w:p>
    <w:p w:rsidR="005D09EE" w:rsidRDefault="005D09EE" w:rsidP="005D09EE">
      <w:pPr>
        <w:spacing w:line="360" w:lineRule="auto"/>
        <w:jc w:val="both"/>
        <w:rPr>
          <w:rtl/>
        </w:rPr>
      </w:pPr>
      <w:r>
        <w:rPr>
          <w:rFonts w:hint="cs"/>
          <w:rtl/>
        </w:rPr>
        <w:t>מצטרפים אנו לביקורת זו של ב"כ הנאשם, אכן הפרסום הראשוני היה מגמתי, חלקי ובאופן שלא שיקף את הכרעת הדין. עם זאת, הנזק שנגרם לנאשם אינו רלוונטי להליך פ</w:t>
      </w:r>
      <w:r w:rsidR="0085722E">
        <w:rPr>
          <w:rFonts w:hint="cs"/>
          <w:rtl/>
        </w:rPr>
        <w:t>רסום גזר הדין ודווקא, שעה שמדוב</w:t>
      </w:r>
      <w:r>
        <w:rPr>
          <w:rFonts w:hint="cs"/>
          <w:rtl/>
        </w:rPr>
        <w:t>ר</w:t>
      </w:r>
      <w:r w:rsidR="0085722E">
        <w:rPr>
          <w:rFonts w:hint="cs"/>
          <w:rtl/>
        </w:rPr>
        <w:t xml:space="preserve"> </w:t>
      </w:r>
      <w:r>
        <w:rPr>
          <w:rFonts w:hint="cs"/>
          <w:rtl/>
        </w:rPr>
        <w:t xml:space="preserve">במי שהפר את צו הפיקוח, הרי שיש חשיבות לפרסומו של גזר הדין אך ורק בהיבט של הפרת צו ה פיקוח. </w:t>
      </w:r>
    </w:p>
    <w:p w:rsidR="005D09EE" w:rsidRDefault="005D09EE" w:rsidP="005D09EE">
      <w:pPr>
        <w:spacing w:line="360" w:lineRule="auto"/>
        <w:jc w:val="both"/>
        <w:rPr>
          <w:rtl/>
        </w:rPr>
      </w:pPr>
    </w:p>
    <w:p w:rsidR="005D09EE" w:rsidRDefault="005D09EE" w:rsidP="005D09EE">
      <w:pPr>
        <w:spacing w:line="360" w:lineRule="auto"/>
        <w:jc w:val="both"/>
        <w:rPr>
          <w:rtl/>
        </w:rPr>
      </w:pPr>
      <w:r>
        <w:rPr>
          <w:rFonts w:hint="cs"/>
          <w:rtl/>
        </w:rPr>
        <w:t xml:space="preserve">אשר על כן, גזר הדין מותר לפרסום, כמובן ללא פרטים מזהים כלשהם של המתלוננת. </w:t>
      </w:r>
    </w:p>
    <w:p w:rsidR="005D09EE" w:rsidRDefault="005D09EE" w:rsidP="005D09EE">
      <w:pPr>
        <w:spacing w:line="360" w:lineRule="auto"/>
        <w:jc w:val="both"/>
        <w:rPr>
          <w:sz w:val="6"/>
          <w:szCs w:val="6"/>
          <w:rtl/>
        </w:rPr>
      </w:pPr>
      <w:r>
        <w:rPr>
          <w:sz w:val="6"/>
          <w:szCs w:val="6"/>
          <w:rtl/>
        </w:rPr>
        <w:lastRenderedPageBreak/>
        <w:t>&lt;#10#&gt;</w:t>
      </w:r>
    </w:p>
    <w:p w:rsidR="005D09EE" w:rsidRPr="004C6756" w:rsidRDefault="005D09EE" w:rsidP="005D09EE">
      <w:pPr>
        <w:spacing w:line="360" w:lineRule="auto"/>
        <w:rPr>
          <w:b/>
          <w:bCs/>
          <w:rtl/>
        </w:rPr>
      </w:pPr>
      <w:r w:rsidRPr="004C6756">
        <w:rPr>
          <w:rFonts w:hint="cs"/>
          <w:b/>
          <w:bCs/>
          <w:rtl/>
        </w:rPr>
        <w:t>נית</w:t>
      </w:r>
      <w:r>
        <w:rPr>
          <w:rFonts w:hint="cs"/>
          <w:b/>
          <w:bCs/>
          <w:rtl/>
        </w:rPr>
        <w:t>נה</w:t>
      </w:r>
      <w:r w:rsidRPr="004C6756">
        <w:rPr>
          <w:rFonts w:hint="cs"/>
          <w:b/>
          <w:bCs/>
          <w:rtl/>
        </w:rPr>
        <w:t xml:space="preserve"> והודע</w:t>
      </w:r>
      <w:r>
        <w:rPr>
          <w:rFonts w:hint="cs"/>
          <w:b/>
          <w:bCs/>
          <w:rtl/>
        </w:rPr>
        <w:t>ה</w:t>
      </w:r>
      <w:r w:rsidRPr="004C6756">
        <w:rPr>
          <w:rFonts w:hint="cs"/>
          <w:b/>
          <w:bCs/>
          <w:rtl/>
        </w:rPr>
        <w:t xml:space="preserve"> היום </w:t>
      </w:r>
      <w:sdt>
        <w:sdtPr>
          <w:rPr>
            <w:rtl/>
          </w:rPr>
          <w:alias w:val="2207"/>
          <w:tag w:val="2207"/>
          <w:id w:val="569854500"/>
        </w:sdtPr>
        <w:sdtEndPr/>
        <w:sdtContent>
          <w:r>
            <w:rPr>
              <w:b/>
              <w:bCs/>
              <w:rtl/>
            </w:rPr>
            <w:t>י"ד תמוז תשפ"ג</w:t>
          </w:r>
        </w:sdtContent>
      </w:sdt>
      <w:r w:rsidRPr="004C6756">
        <w:rPr>
          <w:rFonts w:hint="cs"/>
          <w:b/>
          <w:bCs/>
          <w:rtl/>
        </w:rPr>
        <w:t xml:space="preserve">, </w:t>
      </w:r>
      <w:sdt>
        <w:sdtPr>
          <w:rPr>
            <w:rtl/>
          </w:rPr>
          <w:alias w:val="2206"/>
          <w:tag w:val="2206"/>
          <w:id w:val="-1975209786"/>
        </w:sdtPr>
        <w:sdtEndPr/>
        <w:sdtContent>
          <w:r>
            <w:rPr>
              <w:b/>
              <w:bCs/>
            </w:rPr>
            <w:t>03/07/2023</w:t>
          </w:r>
        </w:sdtContent>
      </w:sdt>
      <w:r w:rsidRPr="004C6756">
        <w:rPr>
          <w:rFonts w:hint="cs"/>
          <w:b/>
          <w:bCs/>
          <w:rtl/>
        </w:rPr>
        <w:t xml:space="preserve"> במעמד הנוכחים. </w:t>
      </w:r>
    </w:p>
    <w:tbl>
      <w:tblPr>
        <w:tblStyle w:val="a7"/>
        <w:bidiVisual/>
        <w:tblW w:w="86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49"/>
        <w:gridCol w:w="338"/>
        <w:gridCol w:w="2786"/>
        <w:gridCol w:w="273"/>
        <w:gridCol w:w="2552"/>
      </w:tblGrid>
      <w:tr w:rsidR="005D09EE" w:rsidRPr="003F0B4F" w:rsidTr="00590E33">
        <w:trPr>
          <w:trHeight w:val="1757"/>
        </w:trPr>
        <w:tc>
          <w:tcPr>
            <w:tcW w:w="2749" w:type="dxa"/>
            <w:tcBorders>
              <w:top w:val="nil"/>
              <w:left w:val="nil"/>
              <w:bottom w:val="single" w:sz="4" w:space="0" w:color="auto"/>
              <w:right w:val="nil"/>
            </w:tcBorders>
            <w:vAlign w:val="bottom"/>
            <w:hideMark/>
          </w:tcPr>
          <w:p w:rsidR="005D09EE" w:rsidRPr="003F0B4F" w:rsidRDefault="005D09EE" w:rsidP="003F0B4F">
            <w:pPr>
              <w:jc w:val="center"/>
              <w:rPr>
                <w:rFonts w:ascii="Courier New" w:hAnsi="Courier New" w:cs="David"/>
                <w:b/>
                <w:bCs/>
                <w:lang w:eastAsia="he-IL"/>
              </w:rPr>
            </w:pPr>
            <w:r w:rsidRPr="003F0B4F">
              <w:rPr>
                <w:rFonts w:ascii="Courier New" w:hAnsi="Courier New"/>
                <w:b/>
                <w:bCs/>
                <w:noProof/>
              </w:rPr>
              <w:drawing>
                <wp:inline distT="0" distB="0" distL="0" distR="0" wp14:anchorId="625E3D86" wp14:editId="546B2D3F">
                  <wp:extent cx="1285875" cy="876300"/>
                  <wp:effectExtent l="0" t="0" r="9525"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85875" cy="876300"/>
                          </a:xfrm>
                          <a:prstGeom prst="rect">
                            <a:avLst/>
                          </a:prstGeom>
                          <a:noFill/>
                          <a:ln>
                            <a:noFill/>
                          </a:ln>
                        </pic:spPr>
                      </pic:pic>
                    </a:graphicData>
                  </a:graphic>
                </wp:inline>
              </w:drawing>
            </w:r>
          </w:p>
        </w:tc>
        <w:tc>
          <w:tcPr>
            <w:tcW w:w="338" w:type="dxa"/>
            <w:vAlign w:val="bottom"/>
          </w:tcPr>
          <w:p w:rsidR="005D09EE" w:rsidRPr="003F0B4F" w:rsidRDefault="005D09EE" w:rsidP="003F0B4F">
            <w:pPr>
              <w:jc w:val="center"/>
              <w:rPr>
                <w:rFonts w:ascii="Courier New" w:hAnsi="Courier New" w:cs="David"/>
                <w:b/>
                <w:bCs/>
                <w:rtl/>
                <w:lang w:eastAsia="he-IL"/>
              </w:rPr>
            </w:pPr>
          </w:p>
        </w:tc>
        <w:tc>
          <w:tcPr>
            <w:tcW w:w="2786" w:type="dxa"/>
            <w:tcBorders>
              <w:top w:val="nil"/>
              <w:left w:val="nil"/>
              <w:bottom w:val="single" w:sz="4" w:space="0" w:color="auto"/>
              <w:right w:val="nil"/>
            </w:tcBorders>
            <w:vAlign w:val="bottom"/>
            <w:hideMark/>
          </w:tcPr>
          <w:p w:rsidR="005D09EE" w:rsidRPr="003F0B4F" w:rsidRDefault="005D09EE" w:rsidP="003F0B4F">
            <w:pPr>
              <w:jc w:val="center"/>
              <w:rPr>
                <w:rFonts w:ascii="Courier New" w:hAnsi="Courier New" w:cs="David"/>
                <w:b/>
                <w:bCs/>
                <w:rtl/>
                <w:lang w:eastAsia="he-IL"/>
              </w:rPr>
            </w:pPr>
            <w:r w:rsidRPr="003F0B4F">
              <w:rPr>
                <w:rFonts w:ascii="Courier New" w:hAnsi="Courier New"/>
                <w:b/>
                <w:bCs/>
                <w:noProof/>
              </w:rPr>
              <w:drawing>
                <wp:inline distT="0" distB="0" distL="0" distR="0" wp14:anchorId="01B67401" wp14:editId="4F8CFE4A">
                  <wp:extent cx="285750" cy="942975"/>
                  <wp:effectExtent l="0" t="0" r="0" b="9525"/>
                  <wp:docPr id="12" name="Picture 3" descr="069725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697258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942975"/>
                          </a:xfrm>
                          <a:prstGeom prst="rect">
                            <a:avLst/>
                          </a:prstGeom>
                          <a:noFill/>
                          <a:ln>
                            <a:noFill/>
                          </a:ln>
                        </pic:spPr>
                      </pic:pic>
                    </a:graphicData>
                  </a:graphic>
                </wp:inline>
              </w:drawing>
            </w:r>
          </w:p>
        </w:tc>
        <w:tc>
          <w:tcPr>
            <w:tcW w:w="273" w:type="dxa"/>
            <w:vAlign w:val="bottom"/>
          </w:tcPr>
          <w:p w:rsidR="005D09EE" w:rsidRPr="003F0B4F" w:rsidRDefault="005D09EE" w:rsidP="003F0B4F">
            <w:pPr>
              <w:jc w:val="center"/>
              <w:rPr>
                <w:rFonts w:ascii="Courier New" w:hAnsi="Courier New" w:cs="David"/>
                <w:b/>
                <w:bCs/>
                <w:lang w:eastAsia="he-IL"/>
              </w:rPr>
            </w:pPr>
          </w:p>
        </w:tc>
        <w:tc>
          <w:tcPr>
            <w:tcW w:w="2552" w:type="dxa"/>
            <w:tcBorders>
              <w:top w:val="nil"/>
              <w:left w:val="nil"/>
              <w:bottom w:val="single" w:sz="4" w:space="0" w:color="auto"/>
              <w:right w:val="nil"/>
            </w:tcBorders>
            <w:vAlign w:val="bottom"/>
            <w:hideMark/>
          </w:tcPr>
          <w:p w:rsidR="005D09EE" w:rsidRPr="003F0B4F" w:rsidRDefault="005D09EE" w:rsidP="003F0B4F">
            <w:pPr>
              <w:jc w:val="center"/>
              <w:rPr>
                <w:rFonts w:ascii="Courier New" w:hAnsi="Courier New" w:cs="David"/>
                <w:b/>
                <w:bCs/>
                <w:lang w:eastAsia="he-IL"/>
              </w:rPr>
            </w:pPr>
            <w:r>
              <w:rPr>
                <w:noProof/>
              </w:rPr>
              <w:drawing>
                <wp:inline distT="0" distB="0" distL="0" distR="0" wp14:anchorId="012CD49E" wp14:editId="0F86A99A">
                  <wp:extent cx="1266825" cy="781050"/>
                  <wp:effectExtent l="0" t="0" r="9525" b="0"/>
                  <wp:docPr id="1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0" cstate="print">
                            <a:extLst/>
                          </a:blip>
                          <a:stretch>
                            <a:fillRect/>
                          </a:stretch>
                        </pic:blipFill>
                        <pic:spPr>
                          <a:xfrm>
                            <a:off x="0" y="0"/>
                            <a:ext cx="1266825" cy="781050"/>
                          </a:xfrm>
                          <a:prstGeom prst="rect">
                            <a:avLst/>
                          </a:prstGeom>
                        </pic:spPr>
                      </pic:pic>
                    </a:graphicData>
                  </a:graphic>
                </wp:inline>
              </w:drawing>
            </w:r>
          </w:p>
        </w:tc>
      </w:tr>
      <w:tr w:rsidR="005D09EE" w:rsidRPr="003F0B4F" w:rsidTr="00590E33">
        <w:trPr>
          <w:trHeight w:val="137"/>
        </w:trPr>
        <w:tc>
          <w:tcPr>
            <w:tcW w:w="2749" w:type="dxa"/>
            <w:tcBorders>
              <w:top w:val="single" w:sz="4" w:space="0" w:color="auto"/>
              <w:left w:val="nil"/>
              <w:bottom w:val="nil"/>
              <w:right w:val="nil"/>
            </w:tcBorders>
            <w:vAlign w:val="bottom"/>
            <w:hideMark/>
          </w:tcPr>
          <w:p w:rsidR="005D09EE" w:rsidRDefault="005D09EE" w:rsidP="006519BF">
            <w:pPr>
              <w:spacing w:line="360" w:lineRule="auto"/>
              <w:jc w:val="left"/>
              <w:rPr>
                <w:rFonts w:cs="David"/>
                <w:b/>
                <w:bCs/>
                <w:noProof/>
                <w:rtl/>
              </w:rPr>
            </w:pPr>
            <w:r>
              <w:rPr>
                <w:rFonts w:ascii="Courier New" w:hAnsi="Courier New" w:cs="David" w:hint="cs"/>
                <w:b/>
                <w:bCs/>
                <w:rtl/>
                <w:lang w:eastAsia="he-IL"/>
              </w:rPr>
              <w:t xml:space="preserve">        </w:t>
            </w:r>
            <w:r>
              <w:rPr>
                <w:rFonts w:cs="David" w:hint="cs"/>
                <w:b/>
                <w:bCs/>
                <w:noProof/>
                <w:rtl/>
              </w:rPr>
              <w:t>אשר קולה , שופט</w:t>
            </w:r>
          </w:p>
          <w:p w:rsidR="005D09EE" w:rsidRDefault="005D09EE" w:rsidP="006519BF">
            <w:pPr>
              <w:spacing w:line="360" w:lineRule="auto"/>
              <w:jc w:val="left"/>
              <w:rPr>
                <w:rFonts w:cs="David"/>
                <w:b/>
                <w:bCs/>
                <w:noProof/>
                <w:rtl/>
              </w:rPr>
            </w:pPr>
            <w:r>
              <w:rPr>
                <w:rFonts w:cs="David" w:hint="cs"/>
                <w:b/>
                <w:bCs/>
                <w:noProof/>
                <w:rtl/>
              </w:rPr>
              <w:t xml:space="preserve">             סגן הנשיאה</w:t>
            </w:r>
          </w:p>
          <w:p w:rsidR="005D09EE" w:rsidRPr="003F0B4F" w:rsidRDefault="005D09EE" w:rsidP="006519BF">
            <w:pPr>
              <w:spacing w:line="360" w:lineRule="auto"/>
              <w:jc w:val="left"/>
              <w:rPr>
                <w:rFonts w:cs="David"/>
                <w:b/>
                <w:bCs/>
                <w:noProof/>
                <w:rtl/>
              </w:rPr>
            </w:pPr>
          </w:p>
        </w:tc>
        <w:tc>
          <w:tcPr>
            <w:tcW w:w="338" w:type="dxa"/>
            <w:vAlign w:val="bottom"/>
          </w:tcPr>
          <w:p w:rsidR="005D09EE" w:rsidRPr="003F0B4F" w:rsidRDefault="005D09EE" w:rsidP="003F0B4F">
            <w:pPr>
              <w:jc w:val="center"/>
              <w:rPr>
                <w:rFonts w:ascii="Courier New" w:hAnsi="Courier New" w:cs="David"/>
                <w:b/>
                <w:bCs/>
                <w:rtl/>
                <w:lang w:eastAsia="he-IL"/>
              </w:rPr>
            </w:pPr>
          </w:p>
        </w:tc>
        <w:tc>
          <w:tcPr>
            <w:tcW w:w="2786" w:type="dxa"/>
            <w:tcBorders>
              <w:top w:val="single" w:sz="4" w:space="0" w:color="auto"/>
              <w:left w:val="nil"/>
              <w:bottom w:val="nil"/>
              <w:right w:val="nil"/>
            </w:tcBorders>
            <w:hideMark/>
          </w:tcPr>
          <w:p w:rsidR="005D09EE" w:rsidRPr="003F0B4F" w:rsidRDefault="005D09EE" w:rsidP="003F0B4F">
            <w:pPr>
              <w:jc w:val="center"/>
              <w:rPr>
                <w:rFonts w:ascii="Courier New" w:hAnsi="Courier New" w:cs="David"/>
                <w:b/>
                <w:bCs/>
                <w:lang w:eastAsia="he-IL"/>
              </w:rPr>
            </w:pPr>
            <w:r>
              <w:rPr>
                <w:rFonts w:ascii="Courier New" w:hAnsi="Courier New" w:cs="David" w:hint="cs"/>
                <w:b/>
                <w:bCs/>
                <w:rtl/>
                <w:lang w:eastAsia="he-IL"/>
              </w:rPr>
              <w:t xml:space="preserve">דני צרפתי </w:t>
            </w:r>
            <w:r w:rsidRPr="003F0B4F">
              <w:rPr>
                <w:rFonts w:ascii="Courier New" w:hAnsi="Courier New" w:cs="David" w:hint="cs"/>
                <w:b/>
                <w:bCs/>
                <w:rtl/>
                <w:lang w:eastAsia="he-IL"/>
              </w:rPr>
              <w:t>, שופט</w:t>
            </w:r>
          </w:p>
        </w:tc>
        <w:tc>
          <w:tcPr>
            <w:tcW w:w="273" w:type="dxa"/>
          </w:tcPr>
          <w:p w:rsidR="005D09EE" w:rsidRPr="003F0B4F" w:rsidRDefault="005D09EE" w:rsidP="003F0B4F">
            <w:pPr>
              <w:jc w:val="center"/>
              <w:rPr>
                <w:rFonts w:ascii="Courier New" w:hAnsi="Courier New" w:cs="David"/>
                <w:b/>
                <w:bCs/>
                <w:lang w:eastAsia="he-IL"/>
              </w:rPr>
            </w:pPr>
          </w:p>
        </w:tc>
        <w:tc>
          <w:tcPr>
            <w:tcW w:w="2552" w:type="dxa"/>
            <w:tcBorders>
              <w:top w:val="single" w:sz="4" w:space="0" w:color="auto"/>
              <w:left w:val="nil"/>
              <w:bottom w:val="nil"/>
              <w:right w:val="nil"/>
            </w:tcBorders>
            <w:hideMark/>
          </w:tcPr>
          <w:p w:rsidR="005D09EE" w:rsidRPr="003F0B4F" w:rsidRDefault="005D09EE" w:rsidP="003F0B4F">
            <w:pPr>
              <w:jc w:val="center"/>
              <w:rPr>
                <w:rFonts w:ascii="Courier New" w:hAnsi="Courier New" w:cs="David"/>
                <w:b/>
                <w:bCs/>
                <w:lang w:eastAsia="he-IL"/>
              </w:rPr>
            </w:pPr>
            <w:r>
              <w:rPr>
                <w:rFonts w:ascii="Courier New" w:hAnsi="Courier New" w:cs="David" w:hint="cs"/>
                <w:b/>
                <w:bCs/>
                <w:rtl/>
                <w:lang w:eastAsia="he-IL"/>
              </w:rPr>
              <w:t>רננה גלפז מוקדי, שופטת</w:t>
            </w:r>
          </w:p>
        </w:tc>
      </w:tr>
    </w:tbl>
    <w:p w:rsidR="005D09EE" w:rsidRPr="003F0B4F" w:rsidRDefault="005D09EE" w:rsidP="006519BF">
      <w:pPr>
        <w:rPr>
          <w:rtl/>
          <w:lang w:eastAsia="he-IL"/>
        </w:rPr>
      </w:pPr>
      <w:r w:rsidRPr="00AF5F37">
        <w:rPr>
          <w:rFonts w:hint="cs"/>
          <w:b/>
          <w:bCs/>
          <w:rtl/>
          <w:lang w:eastAsia="he-IL"/>
        </w:rPr>
        <w:t xml:space="preserve">             </w:t>
      </w:r>
      <w:r>
        <w:rPr>
          <w:rFonts w:hint="cs"/>
          <w:b/>
          <w:bCs/>
          <w:rtl/>
          <w:lang w:eastAsia="he-IL"/>
        </w:rPr>
        <w:t xml:space="preserve">  </w:t>
      </w:r>
      <w:r w:rsidRPr="00AF5F37">
        <w:rPr>
          <w:rFonts w:hint="cs"/>
          <w:b/>
          <w:bCs/>
          <w:rtl/>
          <w:lang w:eastAsia="he-IL"/>
        </w:rPr>
        <w:t xml:space="preserve">  </w:t>
      </w:r>
    </w:p>
    <w:p w:rsidR="002B3EF2" w:rsidRDefault="002B3EF2">
      <w:pPr>
        <w:pStyle w:val="David"/>
        <w:rPr>
          <w:sz w:val="6"/>
          <w:szCs w:val="6"/>
          <w:rtl/>
        </w:rPr>
      </w:pPr>
      <w:r>
        <w:rPr>
          <w:sz w:val="6"/>
          <w:szCs w:val="6"/>
          <w:rtl/>
        </w:rPr>
        <w:t>&lt;#3#&gt;</w:t>
      </w:r>
    </w:p>
    <w:p w:rsidR="002B3EF2" w:rsidRPr="00F549FC" w:rsidRDefault="002B3EF2" w:rsidP="00F549FC">
      <w:pPr>
        <w:spacing w:line="360" w:lineRule="auto"/>
        <w:jc w:val="center"/>
        <w:rPr>
          <w:rFonts w:ascii="Arial" w:hAnsi="Arial"/>
          <w:b/>
          <w:bCs/>
          <w:sz w:val="28"/>
          <w:szCs w:val="28"/>
          <w:u w:val="single"/>
          <w:rtl/>
        </w:rPr>
      </w:pPr>
      <w:r w:rsidRPr="00F549FC">
        <w:rPr>
          <w:rFonts w:ascii="Arial" w:hAnsi="Arial" w:hint="cs"/>
          <w:b/>
          <w:bCs/>
          <w:sz w:val="28"/>
          <w:szCs w:val="28"/>
          <w:u w:val="single"/>
          <w:rtl/>
        </w:rPr>
        <w:t>גזר דין</w:t>
      </w:r>
      <w:r w:rsidR="00640DF6" w:rsidRPr="00F549FC">
        <w:rPr>
          <w:rFonts w:ascii="Arial" w:hAnsi="Arial" w:hint="cs"/>
          <w:b/>
          <w:bCs/>
          <w:sz w:val="28"/>
          <w:szCs w:val="28"/>
          <w:u w:val="single"/>
          <w:rtl/>
        </w:rPr>
        <w:t xml:space="preserve"> </w:t>
      </w:r>
    </w:p>
    <w:p w:rsidR="002B3EF2" w:rsidRDefault="002B3EF2">
      <w:pPr>
        <w:spacing w:line="360" w:lineRule="auto"/>
        <w:jc w:val="both"/>
        <w:rPr>
          <w:rFonts w:ascii="Arial" w:hAnsi="Arial"/>
          <w:rtl/>
        </w:rPr>
      </w:pPr>
    </w:p>
    <w:p w:rsidR="00DE0CBF" w:rsidRDefault="00DE0CBF" w:rsidP="00DE0CBF">
      <w:pPr>
        <w:tabs>
          <w:tab w:val="left" w:pos="567"/>
          <w:tab w:val="left" w:pos="1134"/>
          <w:tab w:val="left" w:pos="1701"/>
        </w:tabs>
        <w:spacing w:line="360" w:lineRule="auto"/>
        <w:ind w:left="567" w:hanging="567"/>
        <w:jc w:val="both"/>
        <w:rPr>
          <w:rFonts w:eastAsia="Calibri"/>
          <w:rtl/>
        </w:rPr>
      </w:pPr>
      <w:r>
        <w:rPr>
          <w:rFonts w:eastAsia="Calibri" w:hint="cs"/>
          <w:rtl/>
        </w:rPr>
        <w:t>1.</w:t>
      </w:r>
      <w:r>
        <w:rPr>
          <w:rFonts w:eastAsia="Calibri" w:hint="cs"/>
          <w:rtl/>
        </w:rPr>
        <w:tab/>
      </w:r>
      <w:r w:rsidRPr="00DE0CBF">
        <w:rPr>
          <w:rFonts w:eastAsia="Calibri"/>
          <w:rtl/>
        </w:rPr>
        <w:t xml:space="preserve">הנאשם,  זוכה לאחר שמיעת הראיות, מעבירת </w:t>
      </w:r>
      <w:r w:rsidRPr="00DE0CBF">
        <w:rPr>
          <w:rFonts w:eastAsia="Times New Roman"/>
          <w:rtl/>
        </w:rPr>
        <w:t>אינוס בנסיבות מחמירות- עבירה לפי סעיף 345(א)(1) בנסיבות סעיף 345(ב)(3) לחוק העונשין, התשל"ז- 1977</w:t>
      </w:r>
      <w:r w:rsidRPr="00DE0CBF">
        <w:rPr>
          <w:rFonts w:eastAsia="Calibri"/>
          <w:rtl/>
        </w:rPr>
        <w:t xml:space="preserve"> אשר יוחסה לו, אך הורשע, על פי הודאתו בתום שמיעת הראיות, בעבירה של הפרת צו פיקוח, </w:t>
      </w:r>
      <w:r w:rsidRPr="00DE0CBF">
        <w:rPr>
          <w:rFonts w:eastAsia="Times New Roman"/>
          <w:rtl/>
        </w:rPr>
        <w:t>עבירה לפי סעיף 22 לחוק ההגנה על הציבור מפני ביצוע עבירות מין, התשס"ו-2006.</w:t>
      </w:r>
    </w:p>
    <w:p w:rsidR="00DE0CBF" w:rsidRDefault="00DE0CBF" w:rsidP="00DE0CBF">
      <w:pPr>
        <w:tabs>
          <w:tab w:val="left" w:pos="567"/>
          <w:tab w:val="left" w:pos="1134"/>
          <w:tab w:val="left" w:pos="1701"/>
        </w:tabs>
        <w:spacing w:line="360" w:lineRule="auto"/>
        <w:ind w:left="567" w:hanging="567"/>
        <w:jc w:val="both"/>
        <w:rPr>
          <w:rFonts w:eastAsia="Calibri"/>
          <w:b/>
          <w:bCs/>
          <w:u w:val="single"/>
          <w:rtl/>
        </w:rPr>
      </w:pPr>
      <w:r>
        <w:rPr>
          <w:rFonts w:eastAsia="Calibri"/>
          <w:rtl/>
        </w:rPr>
        <w:tab/>
      </w:r>
      <w:r w:rsidRPr="00DE0CBF">
        <w:rPr>
          <w:rFonts w:eastAsia="Calibri"/>
          <w:rtl/>
        </w:rPr>
        <w:t>גזר הדין, אם כך, עניינו הרשעת הנאשם בעבירה של הפרת צו הפיקוח.</w:t>
      </w:r>
    </w:p>
    <w:p w:rsidR="00DE0CBF" w:rsidRDefault="00DE0CBF" w:rsidP="00DE0CBF">
      <w:pPr>
        <w:tabs>
          <w:tab w:val="left" w:pos="567"/>
          <w:tab w:val="left" w:pos="1134"/>
          <w:tab w:val="left" w:pos="1701"/>
        </w:tabs>
        <w:spacing w:line="360" w:lineRule="auto"/>
        <w:ind w:left="567" w:hanging="567"/>
        <w:jc w:val="both"/>
        <w:rPr>
          <w:rFonts w:eastAsia="Calibri"/>
          <w:b/>
          <w:bCs/>
          <w:u w:val="single"/>
          <w:rtl/>
        </w:rPr>
      </w:pPr>
    </w:p>
    <w:p w:rsidR="00DE0CBF" w:rsidRDefault="00DE0CBF" w:rsidP="00DE0CBF">
      <w:pPr>
        <w:tabs>
          <w:tab w:val="left" w:pos="567"/>
          <w:tab w:val="left" w:pos="1134"/>
          <w:tab w:val="left" w:pos="1701"/>
        </w:tabs>
        <w:spacing w:line="360" w:lineRule="auto"/>
        <w:ind w:left="567" w:hanging="567"/>
        <w:jc w:val="both"/>
        <w:rPr>
          <w:rFonts w:eastAsia="Calibri"/>
          <w:rtl/>
        </w:rPr>
      </w:pPr>
      <w:r w:rsidRPr="00DE0CBF">
        <w:rPr>
          <w:rFonts w:eastAsia="Calibri"/>
          <w:b/>
          <w:bCs/>
          <w:rtl/>
        </w:rPr>
        <w:tab/>
      </w:r>
      <w:r w:rsidRPr="00DE0CBF">
        <w:rPr>
          <w:rFonts w:eastAsia="Calibri"/>
          <w:b/>
          <w:bCs/>
          <w:u w:val="single"/>
          <w:rtl/>
        </w:rPr>
        <w:t>רקע</w:t>
      </w:r>
    </w:p>
    <w:p w:rsidR="00DE0CBF" w:rsidRDefault="00DE0CBF" w:rsidP="00DE0CBF">
      <w:pPr>
        <w:tabs>
          <w:tab w:val="left" w:pos="567"/>
          <w:tab w:val="left" w:pos="1134"/>
          <w:tab w:val="left" w:pos="1701"/>
        </w:tabs>
        <w:spacing w:line="360" w:lineRule="auto"/>
        <w:ind w:left="567" w:hanging="567"/>
        <w:jc w:val="both"/>
        <w:rPr>
          <w:rFonts w:eastAsia="Calibri"/>
          <w:rtl/>
        </w:rPr>
      </w:pPr>
    </w:p>
    <w:p w:rsidR="00DE0CBF" w:rsidRDefault="00DE0CBF" w:rsidP="00DE0CBF">
      <w:pPr>
        <w:tabs>
          <w:tab w:val="left" w:pos="567"/>
          <w:tab w:val="left" w:pos="1134"/>
          <w:tab w:val="left" w:pos="1701"/>
        </w:tabs>
        <w:spacing w:line="360" w:lineRule="auto"/>
        <w:ind w:left="567" w:hanging="567"/>
        <w:jc w:val="both"/>
        <w:rPr>
          <w:rFonts w:eastAsia="Calibri"/>
          <w:rtl/>
        </w:rPr>
      </w:pPr>
      <w:r>
        <w:rPr>
          <w:rFonts w:eastAsia="Calibri" w:hint="cs"/>
          <w:rtl/>
        </w:rPr>
        <w:t>2.</w:t>
      </w:r>
      <w:r>
        <w:rPr>
          <w:rFonts w:eastAsia="Calibri" w:hint="cs"/>
          <w:rtl/>
        </w:rPr>
        <w:tab/>
      </w:r>
      <w:r w:rsidRPr="00DE0CBF">
        <w:rPr>
          <w:rFonts w:eastAsia="Calibri"/>
          <w:rtl/>
        </w:rPr>
        <w:t>על פי עובדות כתב האישום ביום 15.11.20 הוארך בעניינו של הנאשם צו פיקוח ומעקב לפי סעיף 12 לחוק ההגנה על הציבור מפני ביצוע עבירות מין, התשס"ו – 2006 למשך שנתיים, עד ליום 15.11.22 (ראו פע"מ 28894-10-20 בבית המשפט המחוזי בנצרת). במסגרת תנאי צו הפיקוח, נאסר על הנאשם לעבוד, בין בתמורה בין בהתנדבות, בעבודה המאפשרת שהייה ביחידות עם נשים וכל עבודה הכוללת אפשרות כניסה לבתים ולרשות הפרט.</w:t>
      </w:r>
    </w:p>
    <w:p w:rsidR="00DE0CBF" w:rsidRDefault="00DE0CBF" w:rsidP="00DE0CBF">
      <w:pPr>
        <w:tabs>
          <w:tab w:val="left" w:pos="567"/>
          <w:tab w:val="left" w:pos="1134"/>
          <w:tab w:val="left" w:pos="1701"/>
        </w:tabs>
        <w:spacing w:line="360" w:lineRule="auto"/>
        <w:ind w:left="567" w:hanging="567"/>
        <w:jc w:val="both"/>
        <w:rPr>
          <w:rFonts w:eastAsia="Calibri"/>
          <w:rtl/>
        </w:rPr>
      </w:pPr>
    </w:p>
    <w:p w:rsidR="00DE0CBF" w:rsidRDefault="00DE0CBF" w:rsidP="0068226E">
      <w:pPr>
        <w:tabs>
          <w:tab w:val="left" w:pos="567"/>
          <w:tab w:val="left" w:pos="1134"/>
          <w:tab w:val="left" w:pos="1701"/>
        </w:tabs>
        <w:spacing w:line="360" w:lineRule="auto"/>
        <w:ind w:left="567" w:hanging="567"/>
        <w:jc w:val="both"/>
        <w:rPr>
          <w:rFonts w:eastAsia="Calibri"/>
          <w:rtl/>
        </w:rPr>
      </w:pPr>
      <w:r>
        <w:rPr>
          <w:rFonts w:eastAsia="Calibri" w:hint="cs"/>
          <w:rtl/>
        </w:rPr>
        <w:t>3.</w:t>
      </w:r>
      <w:r>
        <w:rPr>
          <w:rFonts w:eastAsia="Calibri"/>
          <w:rtl/>
        </w:rPr>
        <w:tab/>
      </w:r>
      <w:r w:rsidRPr="00DE0CBF">
        <w:rPr>
          <w:rFonts w:eastAsia="Calibri"/>
          <w:rtl/>
        </w:rPr>
        <w:t xml:space="preserve">בתום סיכומיו של ב"כ הנאשם, הודיע כי ככל שתתקבל גרסתו לגבי עבירת האינוס והוא יזוכה, הרי שהנאשם מסכים כי הוא הפר את צו </w:t>
      </w:r>
      <w:r w:rsidR="0068226E">
        <w:rPr>
          <w:rFonts w:eastAsia="Calibri"/>
          <w:rtl/>
        </w:rPr>
        <w:t>הפיקוח בכל הנוגע לרכיב העבודה.(</w:t>
      </w:r>
      <w:r w:rsidRPr="00DE0CBF">
        <w:rPr>
          <w:rFonts w:eastAsia="Calibri"/>
          <w:rtl/>
        </w:rPr>
        <w:t>יוער כי בכתב האישום יוחסה לנאשם עבירה של הפרת צו הפיקוח בגין כך שהציע למתלוננת בתיק לבצע בביתה עבודות שיפוץ, ולעניין זה קבענו כי עובדה זו שבכתב האישום לא הוכחה)</w:t>
      </w:r>
      <w:r>
        <w:rPr>
          <w:rFonts w:eastAsia="Calibri" w:hint="cs"/>
          <w:rtl/>
        </w:rPr>
        <w:t xml:space="preserve"> </w:t>
      </w:r>
      <w:r w:rsidRPr="00DE0CBF">
        <w:rPr>
          <w:rFonts w:eastAsia="Calibri"/>
          <w:rtl/>
        </w:rPr>
        <w:t xml:space="preserve">כאמור, בהכרעת הדין מצאנו לזכות את הנאשם מעבירת האינוס ולהרשיעו בעבירה של הפרת צו הפיקוח בכך שהגיע לבית המתלוננת, לאחר תיאום עימה, לצורך קיום יחסי מין בתמורה ובכך </w:t>
      </w:r>
      <w:r w:rsidRPr="00DE0CBF">
        <w:rPr>
          <w:rFonts w:eastAsia="Calibri"/>
          <w:rtl/>
        </w:rPr>
        <w:lastRenderedPageBreak/>
        <w:t>הפר את צו הפיקוח, אשר אסר עליו, בין היתר, לעבוד בעבודה המאפשרת שהייה ביחידות עם נשים.</w:t>
      </w:r>
    </w:p>
    <w:p w:rsidR="00DE0CBF" w:rsidRDefault="00DE0CBF" w:rsidP="00DE0CBF">
      <w:pPr>
        <w:tabs>
          <w:tab w:val="left" w:pos="567"/>
          <w:tab w:val="left" w:pos="1134"/>
          <w:tab w:val="left" w:pos="1701"/>
        </w:tabs>
        <w:spacing w:line="360" w:lineRule="auto"/>
        <w:ind w:left="567" w:hanging="567"/>
        <w:jc w:val="both"/>
        <w:rPr>
          <w:rFonts w:eastAsia="Calibri"/>
          <w:rtl/>
        </w:rPr>
      </w:pPr>
    </w:p>
    <w:p w:rsidR="00DE0CBF" w:rsidRDefault="00DE0CBF" w:rsidP="00DE0CBF">
      <w:pPr>
        <w:tabs>
          <w:tab w:val="left" w:pos="567"/>
          <w:tab w:val="left" w:pos="1134"/>
          <w:tab w:val="left" w:pos="1701"/>
        </w:tabs>
        <w:spacing w:line="360" w:lineRule="auto"/>
        <w:ind w:left="567" w:hanging="567"/>
        <w:jc w:val="both"/>
        <w:rPr>
          <w:rFonts w:eastAsia="Calibri"/>
          <w:b/>
          <w:bCs/>
          <w:u w:val="single"/>
          <w:rtl/>
        </w:rPr>
      </w:pPr>
      <w:r>
        <w:rPr>
          <w:rFonts w:eastAsia="Calibri" w:hint="cs"/>
          <w:rtl/>
        </w:rPr>
        <w:t>4.</w:t>
      </w:r>
      <w:r>
        <w:rPr>
          <w:rFonts w:eastAsia="Calibri" w:hint="cs"/>
          <w:rtl/>
        </w:rPr>
        <w:tab/>
      </w:r>
      <w:r w:rsidRPr="00DE0CBF">
        <w:rPr>
          <w:rFonts w:eastAsia="Calibri"/>
          <w:rtl/>
        </w:rPr>
        <w:t>בתאריך 25.6.23 הוארך צו הפיקוח  בעניינו של הנאשם, לפי סעיף 12 לחוק ההגנה על הציבור מפני ביצוע עבירות מין, התשס"ו – 2006</w:t>
      </w:r>
      <w:r w:rsidRPr="00DE0CBF">
        <w:rPr>
          <w:rFonts w:eastAsia="Calibri"/>
          <w:color w:val="000000"/>
          <w:rtl/>
        </w:rPr>
        <w:t xml:space="preserve">, </w:t>
      </w:r>
      <w:r w:rsidRPr="00DE0CBF">
        <w:rPr>
          <w:rFonts w:eastAsia="Calibri"/>
          <w:rtl/>
        </w:rPr>
        <w:t>כך שתקופת צ</w:t>
      </w:r>
      <w:r w:rsidR="0068226E">
        <w:rPr>
          <w:rFonts w:eastAsia="Calibri"/>
          <w:rtl/>
        </w:rPr>
        <w:t>ו הפיקוח הוארכה עד ליום 15.5.25</w:t>
      </w:r>
      <w:r w:rsidRPr="00DE0CBF">
        <w:rPr>
          <w:rFonts w:eastAsia="Calibri"/>
          <w:rtl/>
        </w:rPr>
        <w:t>, כפי שעולה מהודעת הסנגור אשר הובאה בפנינו טרם מתן גזר הדין.</w:t>
      </w:r>
    </w:p>
    <w:p w:rsidR="00DE0CBF" w:rsidRDefault="00DE0CBF" w:rsidP="00DE0CBF">
      <w:pPr>
        <w:tabs>
          <w:tab w:val="left" w:pos="567"/>
          <w:tab w:val="left" w:pos="1134"/>
          <w:tab w:val="left" w:pos="1701"/>
        </w:tabs>
        <w:spacing w:line="360" w:lineRule="auto"/>
        <w:ind w:left="567" w:hanging="567"/>
        <w:jc w:val="both"/>
        <w:rPr>
          <w:rFonts w:eastAsia="Calibri"/>
          <w:b/>
          <w:bCs/>
          <w:u w:val="single"/>
          <w:rtl/>
        </w:rPr>
      </w:pPr>
    </w:p>
    <w:p w:rsidR="00DE0CBF" w:rsidRDefault="00DE0CBF" w:rsidP="00DE0CBF">
      <w:pPr>
        <w:tabs>
          <w:tab w:val="left" w:pos="567"/>
          <w:tab w:val="left" w:pos="1134"/>
          <w:tab w:val="left" w:pos="1701"/>
        </w:tabs>
        <w:spacing w:line="360" w:lineRule="auto"/>
        <w:ind w:left="567" w:hanging="567"/>
        <w:jc w:val="both"/>
        <w:rPr>
          <w:rFonts w:eastAsia="Calibri"/>
          <w:rtl/>
        </w:rPr>
      </w:pPr>
      <w:r w:rsidRPr="00DE0CBF">
        <w:rPr>
          <w:rFonts w:eastAsia="Calibri"/>
          <w:b/>
          <w:bCs/>
          <w:rtl/>
        </w:rPr>
        <w:tab/>
      </w:r>
      <w:r w:rsidRPr="00DE0CBF">
        <w:rPr>
          <w:rFonts w:eastAsia="Calibri"/>
          <w:b/>
          <w:bCs/>
          <w:u w:val="single"/>
          <w:rtl/>
        </w:rPr>
        <w:t>ראיות לעונש</w:t>
      </w:r>
    </w:p>
    <w:p w:rsidR="00DE0CBF" w:rsidRDefault="00DE0CBF" w:rsidP="00DE0CBF">
      <w:pPr>
        <w:tabs>
          <w:tab w:val="left" w:pos="567"/>
          <w:tab w:val="left" w:pos="1134"/>
          <w:tab w:val="left" w:pos="1701"/>
        </w:tabs>
        <w:spacing w:line="360" w:lineRule="auto"/>
        <w:ind w:left="567" w:hanging="567"/>
        <w:jc w:val="both"/>
        <w:rPr>
          <w:rFonts w:eastAsia="Calibri"/>
          <w:rtl/>
        </w:rPr>
      </w:pPr>
    </w:p>
    <w:p w:rsidR="00DE0CBF" w:rsidRDefault="00DE0CBF" w:rsidP="00DE0CBF">
      <w:pPr>
        <w:tabs>
          <w:tab w:val="left" w:pos="567"/>
          <w:tab w:val="left" w:pos="1134"/>
          <w:tab w:val="left" w:pos="1701"/>
        </w:tabs>
        <w:spacing w:line="360" w:lineRule="auto"/>
        <w:ind w:left="567" w:hanging="567"/>
        <w:jc w:val="both"/>
        <w:rPr>
          <w:rFonts w:eastAsia="Calibri"/>
          <w:rtl/>
        </w:rPr>
      </w:pPr>
      <w:r>
        <w:rPr>
          <w:rFonts w:eastAsia="Calibri" w:hint="cs"/>
          <w:rtl/>
        </w:rPr>
        <w:t>5.</w:t>
      </w:r>
      <w:r>
        <w:rPr>
          <w:rFonts w:eastAsia="Calibri" w:hint="cs"/>
          <w:rtl/>
        </w:rPr>
        <w:tab/>
      </w:r>
      <w:r w:rsidRPr="00DE0CBF">
        <w:rPr>
          <w:rFonts w:eastAsia="Calibri"/>
          <w:rtl/>
        </w:rPr>
        <w:t>המאשימה, במסגרת ראיותיה לעונש, הגישה לעיון בית המשפט את ג</w:t>
      </w:r>
      <w:r w:rsidR="0068226E">
        <w:rPr>
          <w:rFonts w:eastAsia="Calibri" w:hint="cs"/>
          <w:rtl/>
        </w:rPr>
        <w:t>י</w:t>
      </w:r>
      <w:r w:rsidRPr="00DE0CBF">
        <w:rPr>
          <w:rFonts w:eastAsia="Calibri"/>
          <w:rtl/>
        </w:rPr>
        <w:t>ליון העבר הפלילי של הנאשם וכן גזרי דין וכתבי אישום בהליכים קודמים בהם הורשע. עיון באלו מלמד כי לנאשם 14 הרשעות קודמות, האחרונה בהן מיום 20.12.12. בג</w:t>
      </w:r>
      <w:r w:rsidR="0068226E">
        <w:rPr>
          <w:rFonts w:eastAsia="Calibri" w:hint="cs"/>
          <w:rtl/>
        </w:rPr>
        <w:t>י</w:t>
      </w:r>
      <w:r w:rsidRPr="00DE0CBF">
        <w:rPr>
          <w:rFonts w:eastAsia="Calibri"/>
          <w:rtl/>
        </w:rPr>
        <w:t xml:space="preserve">ליון הרישום הפלילי נרשם כי הרשעה זו היא בעבירות של הסגת גבול ובעילה שגרמה לחבלה גופנית אולם עיון בגזר הדין ובכתב האישום המתוקן באותו הליך מלמד כי הנאשם הורשע אז בעבירה אחת והיא עבירה לפי סעיף 345 (א)(1) לחוק העונשין, אינוס בנסיבות מחמירות, של אישה כבת 47. במסגרת הסדר טיעון הוטלו עליו 7 שנות מאסר בפועל והופעל במצטבר עונש מאסר מותנה בן שנה ומחצה. בעקבות הרשעתו זו, הוטל עליו צו הפיקוח אשר בהפרתו הורשע כעת, על פי הודאתו. </w:t>
      </w:r>
    </w:p>
    <w:p w:rsidR="00DE0CBF" w:rsidRDefault="00DE0CBF" w:rsidP="00DE0CBF">
      <w:pPr>
        <w:tabs>
          <w:tab w:val="left" w:pos="567"/>
          <w:tab w:val="left" w:pos="1134"/>
          <w:tab w:val="left" w:pos="1701"/>
        </w:tabs>
        <w:spacing w:line="360" w:lineRule="auto"/>
        <w:ind w:left="567" w:hanging="567"/>
        <w:jc w:val="both"/>
        <w:rPr>
          <w:rFonts w:eastAsia="Calibri"/>
          <w:rtl/>
        </w:rPr>
      </w:pPr>
      <w:r>
        <w:rPr>
          <w:rFonts w:eastAsia="Calibri"/>
          <w:rtl/>
        </w:rPr>
        <w:tab/>
      </w:r>
      <w:r w:rsidRPr="00DE0CBF">
        <w:rPr>
          <w:rFonts w:eastAsia="Calibri"/>
          <w:rtl/>
        </w:rPr>
        <w:t>עוד עולה כי קודם להרשעתו בעבירת האינוס ביום 20.12.12, הורשע הנאשם בעבירות שעיקרן איומים, תקיפה, הסגת גבול, גרימת נזק לרכוש, הפרעה לשוטר ותקיפת שוטר, התפרצות וגניבה.</w:t>
      </w:r>
    </w:p>
    <w:p w:rsidR="00DE0CBF" w:rsidRDefault="00DE0CBF" w:rsidP="00DE0CBF">
      <w:pPr>
        <w:tabs>
          <w:tab w:val="left" w:pos="567"/>
          <w:tab w:val="left" w:pos="1134"/>
          <w:tab w:val="left" w:pos="1701"/>
        </w:tabs>
        <w:spacing w:line="360" w:lineRule="auto"/>
        <w:ind w:left="567" w:hanging="567"/>
        <w:jc w:val="both"/>
        <w:rPr>
          <w:rFonts w:eastAsia="Calibri"/>
          <w:rtl/>
        </w:rPr>
      </w:pPr>
    </w:p>
    <w:p w:rsidR="00DE0CBF" w:rsidRDefault="00DE0CBF" w:rsidP="00DE0CBF">
      <w:pPr>
        <w:tabs>
          <w:tab w:val="left" w:pos="567"/>
          <w:tab w:val="left" w:pos="1134"/>
          <w:tab w:val="left" w:pos="1701"/>
        </w:tabs>
        <w:spacing w:line="360" w:lineRule="auto"/>
        <w:ind w:left="567" w:hanging="567"/>
        <w:jc w:val="both"/>
        <w:rPr>
          <w:rFonts w:eastAsia="Calibri"/>
          <w:b/>
          <w:bCs/>
          <w:u w:val="single"/>
          <w:rtl/>
        </w:rPr>
      </w:pPr>
      <w:r>
        <w:rPr>
          <w:rFonts w:eastAsia="Calibri" w:hint="cs"/>
          <w:rtl/>
        </w:rPr>
        <w:t>6.</w:t>
      </w:r>
      <w:r>
        <w:rPr>
          <w:rFonts w:eastAsia="Calibri" w:hint="cs"/>
          <w:rtl/>
        </w:rPr>
        <w:tab/>
      </w:r>
      <w:r w:rsidRPr="00DE0CBF">
        <w:rPr>
          <w:rFonts w:eastAsia="Calibri"/>
          <w:rtl/>
        </w:rPr>
        <w:t xml:space="preserve">הנאשם, במסגרת ראיותיו לעונש, הגיש מכתב מיום 18.10.22, המסכם את תוכנית השיקום המונע במסגרת הרשות לשיקום האסיר במרכז השיקום המונע "פסגה". במכתב מתואר תהליך אותו עבר הנאשם החל מיום 20.12.20, אשר תוכנן בתחילה למשך שנה, אך כפי שעולה מן הסיכום, לאור </w:t>
      </w:r>
      <w:r w:rsidRPr="00DE0CBF">
        <w:rPr>
          <w:rFonts w:eastAsia="Calibri"/>
          <w:b/>
          <w:bCs/>
          <w:rtl/>
        </w:rPr>
        <w:t xml:space="preserve">"היתרמותו של הנ"ל מהטיפול, התוכנית הוארכה בהסכמתו ... בשנה נוספת" </w:t>
      </w:r>
      <w:r w:rsidRPr="00DE0CBF">
        <w:rPr>
          <w:rFonts w:eastAsia="Calibri"/>
          <w:rtl/>
        </w:rPr>
        <w:t xml:space="preserve">ואמורה היתה להסתיים בחודש דצמבר 2022. מאחר שנעצר במסגרת תיק זה בחודש יולי 2022, הופסקה תוכנית הטיפול. במכתב מתואר תהליך העבודה עימו, שילובו בקבוצה טיפולית והקשיים בהם נתקל במסגרת התהליך הן בקבוצה, הן בטיפול הפרטני. </w:t>
      </w:r>
    </w:p>
    <w:p w:rsidR="00DE0CBF" w:rsidRDefault="00DE0CBF" w:rsidP="00DE0CBF">
      <w:pPr>
        <w:tabs>
          <w:tab w:val="left" w:pos="567"/>
          <w:tab w:val="left" w:pos="1134"/>
          <w:tab w:val="left" w:pos="1701"/>
        </w:tabs>
        <w:spacing w:line="360" w:lineRule="auto"/>
        <w:ind w:left="567" w:hanging="567"/>
        <w:jc w:val="both"/>
        <w:rPr>
          <w:rFonts w:eastAsia="Calibri"/>
          <w:b/>
          <w:bCs/>
          <w:u w:val="single"/>
          <w:rtl/>
        </w:rPr>
      </w:pPr>
    </w:p>
    <w:p w:rsidR="005D09EE" w:rsidRDefault="005D09EE" w:rsidP="00DE0CBF">
      <w:pPr>
        <w:tabs>
          <w:tab w:val="left" w:pos="567"/>
          <w:tab w:val="left" w:pos="1134"/>
          <w:tab w:val="left" w:pos="1701"/>
        </w:tabs>
        <w:spacing w:line="360" w:lineRule="auto"/>
        <w:ind w:left="567" w:hanging="567"/>
        <w:jc w:val="both"/>
        <w:rPr>
          <w:rFonts w:eastAsia="Calibri"/>
          <w:rtl/>
        </w:rPr>
      </w:pPr>
    </w:p>
    <w:p w:rsidR="005D09EE" w:rsidRDefault="005D09EE" w:rsidP="00DE0CBF">
      <w:pPr>
        <w:tabs>
          <w:tab w:val="left" w:pos="567"/>
          <w:tab w:val="left" w:pos="1134"/>
          <w:tab w:val="left" w:pos="1701"/>
        </w:tabs>
        <w:spacing w:line="360" w:lineRule="auto"/>
        <w:ind w:left="567" w:hanging="567"/>
        <w:jc w:val="both"/>
        <w:rPr>
          <w:rFonts w:eastAsia="Calibri"/>
          <w:rtl/>
        </w:rPr>
      </w:pPr>
    </w:p>
    <w:p w:rsidR="005D09EE" w:rsidRDefault="005D09EE" w:rsidP="00DE0CBF">
      <w:pPr>
        <w:tabs>
          <w:tab w:val="left" w:pos="567"/>
          <w:tab w:val="left" w:pos="1134"/>
          <w:tab w:val="left" w:pos="1701"/>
        </w:tabs>
        <w:spacing w:line="360" w:lineRule="auto"/>
        <w:ind w:left="567" w:hanging="567"/>
        <w:jc w:val="both"/>
        <w:rPr>
          <w:rFonts w:eastAsia="Calibri"/>
          <w:rtl/>
        </w:rPr>
      </w:pPr>
    </w:p>
    <w:p w:rsidR="005D09EE" w:rsidRDefault="005D09EE" w:rsidP="00DE0CBF">
      <w:pPr>
        <w:tabs>
          <w:tab w:val="left" w:pos="567"/>
          <w:tab w:val="left" w:pos="1134"/>
          <w:tab w:val="left" w:pos="1701"/>
        </w:tabs>
        <w:spacing w:line="360" w:lineRule="auto"/>
        <w:ind w:left="567" w:hanging="567"/>
        <w:jc w:val="both"/>
        <w:rPr>
          <w:rFonts w:eastAsia="Calibri"/>
          <w:rtl/>
        </w:rPr>
      </w:pPr>
    </w:p>
    <w:p w:rsidR="005D09EE" w:rsidRDefault="005D09EE" w:rsidP="00DE0CBF">
      <w:pPr>
        <w:tabs>
          <w:tab w:val="left" w:pos="567"/>
          <w:tab w:val="left" w:pos="1134"/>
          <w:tab w:val="left" w:pos="1701"/>
        </w:tabs>
        <w:spacing w:line="360" w:lineRule="auto"/>
        <w:ind w:left="567" w:hanging="567"/>
        <w:jc w:val="both"/>
        <w:rPr>
          <w:rFonts w:eastAsia="Calibri"/>
          <w:rtl/>
        </w:rPr>
      </w:pPr>
    </w:p>
    <w:p w:rsidR="00DE0CBF" w:rsidRDefault="00DE0CBF" w:rsidP="00DE0CBF">
      <w:pPr>
        <w:tabs>
          <w:tab w:val="left" w:pos="567"/>
          <w:tab w:val="left" w:pos="1134"/>
          <w:tab w:val="left" w:pos="1701"/>
        </w:tabs>
        <w:spacing w:line="360" w:lineRule="auto"/>
        <w:ind w:left="567" w:hanging="567"/>
        <w:jc w:val="both"/>
        <w:rPr>
          <w:rFonts w:eastAsia="Calibri"/>
          <w:rtl/>
        </w:rPr>
      </w:pPr>
      <w:r w:rsidRPr="00DE0CBF">
        <w:rPr>
          <w:rFonts w:eastAsia="Calibri"/>
          <w:rtl/>
        </w:rPr>
        <w:tab/>
      </w:r>
      <w:r w:rsidRPr="00DE0CBF">
        <w:rPr>
          <w:rFonts w:eastAsia="Calibri"/>
          <w:b/>
          <w:bCs/>
          <w:u w:val="single"/>
          <w:rtl/>
        </w:rPr>
        <w:t>טיעוני הצדדים לעונש</w:t>
      </w:r>
    </w:p>
    <w:p w:rsidR="00DE0CBF" w:rsidRDefault="00DE0CBF" w:rsidP="00DE0CBF">
      <w:pPr>
        <w:tabs>
          <w:tab w:val="left" w:pos="567"/>
          <w:tab w:val="left" w:pos="1134"/>
          <w:tab w:val="left" w:pos="1701"/>
        </w:tabs>
        <w:spacing w:line="360" w:lineRule="auto"/>
        <w:ind w:left="567" w:hanging="567"/>
        <w:jc w:val="both"/>
        <w:rPr>
          <w:rFonts w:eastAsia="Calibri"/>
          <w:rtl/>
        </w:rPr>
      </w:pPr>
    </w:p>
    <w:p w:rsidR="00DE0CBF" w:rsidRDefault="00DE0CBF" w:rsidP="00DE0CBF">
      <w:pPr>
        <w:tabs>
          <w:tab w:val="left" w:pos="567"/>
          <w:tab w:val="left" w:pos="1134"/>
          <w:tab w:val="left" w:pos="1701"/>
        </w:tabs>
        <w:spacing w:line="360" w:lineRule="auto"/>
        <w:ind w:left="567" w:hanging="567"/>
        <w:jc w:val="both"/>
        <w:rPr>
          <w:rFonts w:eastAsia="Calibri"/>
          <w:rtl/>
        </w:rPr>
      </w:pPr>
      <w:r>
        <w:rPr>
          <w:rFonts w:eastAsia="Calibri" w:hint="cs"/>
          <w:rtl/>
        </w:rPr>
        <w:t>7.</w:t>
      </w:r>
      <w:r>
        <w:rPr>
          <w:rFonts w:eastAsia="Calibri" w:hint="cs"/>
          <w:rtl/>
        </w:rPr>
        <w:tab/>
      </w:r>
      <w:r w:rsidRPr="00DE0CBF">
        <w:rPr>
          <w:rFonts w:eastAsia="Calibri"/>
          <w:rtl/>
        </w:rPr>
        <w:t xml:space="preserve">ב"כ המאשימה תיארה את הערכים החברתיים אשר נפגעו כתוצאה ממעשיו של הנאשם, העלתה טיעונים ביחס למדיניות הענישה הנהוגה ופירטה את נסיבות ביצוע העבירה. היא הדגישה את הצורך בהרתעת הנאשם והרתעת הציבור מפני הפרת צווים שיפוטיים. </w:t>
      </w:r>
    </w:p>
    <w:p w:rsidR="00DE0CBF" w:rsidRDefault="00DE0CBF" w:rsidP="00DE0CBF">
      <w:pPr>
        <w:tabs>
          <w:tab w:val="left" w:pos="567"/>
          <w:tab w:val="left" w:pos="1134"/>
          <w:tab w:val="left" w:pos="1701"/>
        </w:tabs>
        <w:spacing w:line="360" w:lineRule="auto"/>
        <w:ind w:left="567" w:hanging="567"/>
        <w:jc w:val="both"/>
        <w:rPr>
          <w:rFonts w:eastAsia="Calibri"/>
          <w:rtl/>
        </w:rPr>
      </w:pPr>
      <w:r>
        <w:rPr>
          <w:rFonts w:eastAsia="Calibri"/>
          <w:rtl/>
        </w:rPr>
        <w:tab/>
      </w:r>
      <w:r w:rsidRPr="00DE0CBF">
        <w:rPr>
          <w:rFonts w:eastAsia="Calibri"/>
          <w:rtl/>
        </w:rPr>
        <w:t xml:space="preserve">במהלך שמיעת הראיות בתיק, כמתחייב בחוק, לא נמסרו לבית המשפט פרטים אודות הרשעותיו הקודמות של הנאשם, בפרט אודות ההרשעה אשר הובילה למתן צו הפיקוח כנגדו. נציין כי ב"כ המאשימה, במסגרת טיעוניה הכתובים לעונש, טענה כי הרשעת הנאשם האחרונה, בשנת 2012, היתה בעבירות של אינוס בנסיבות מחמירות והסגת גבול, אולם כאמור מעלה, עיון בגזר הדין ההוא מלמד כי ההרשעה היתה בעבירה של אינוס בנסיבות מחמירות בלא עבירות נוספות כלשהן. </w:t>
      </w:r>
    </w:p>
    <w:p w:rsidR="004523B2" w:rsidRDefault="00DE0CBF" w:rsidP="00DE0CBF">
      <w:pPr>
        <w:tabs>
          <w:tab w:val="left" w:pos="567"/>
          <w:tab w:val="left" w:pos="1134"/>
          <w:tab w:val="left" w:pos="1701"/>
        </w:tabs>
        <w:spacing w:line="360" w:lineRule="auto"/>
        <w:ind w:left="567" w:hanging="567"/>
        <w:jc w:val="both"/>
        <w:rPr>
          <w:rFonts w:eastAsia="Calibri"/>
          <w:rtl/>
        </w:rPr>
      </w:pPr>
      <w:r>
        <w:rPr>
          <w:rFonts w:eastAsia="Calibri"/>
          <w:rtl/>
        </w:rPr>
        <w:tab/>
      </w:r>
    </w:p>
    <w:p w:rsidR="00DE0CBF" w:rsidRDefault="004523B2" w:rsidP="00DE0CBF">
      <w:pPr>
        <w:tabs>
          <w:tab w:val="left" w:pos="567"/>
          <w:tab w:val="left" w:pos="1134"/>
          <w:tab w:val="left" w:pos="1701"/>
        </w:tabs>
        <w:spacing w:line="360" w:lineRule="auto"/>
        <w:ind w:left="567" w:hanging="567"/>
        <w:jc w:val="both"/>
        <w:rPr>
          <w:rFonts w:eastAsia="Calibri"/>
          <w:rtl/>
        </w:rPr>
      </w:pPr>
      <w:r>
        <w:rPr>
          <w:rFonts w:eastAsia="Calibri"/>
          <w:rtl/>
        </w:rPr>
        <w:tab/>
      </w:r>
      <w:r w:rsidR="00DE0CBF" w:rsidRPr="00DE0CBF">
        <w:rPr>
          <w:rFonts w:eastAsia="Calibri"/>
          <w:rtl/>
        </w:rPr>
        <w:t>ב"כ המאשימה טענה כי הנאשם הפר את שני האיסורים אשר הוטלו עליו במסגרת צו הפיקוח</w:t>
      </w:r>
      <w:r w:rsidR="00DE0CBF">
        <w:rPr>
          <w:rFonts w:eastAsia="Calibri" w:hint="cs"/>
          <w:rtl/>
        </w:rPr>
        <w:t xml:space="preserve"> - </w:t>
      </w:r>
      <w:r w:rsidR="00DE0CBF" w:rsidRPr="00DE0CBF">
        <w:rPr>
          <w:rFonts w:eastAsia="Calibri"/>
          <w:rtl/>
        </w:rPr>
        <w:t xml:space="preserve">לעבוד בתמורה או בהתנדבות, בעבודה המאפשרת שהייה ביחידות עם נשים והתנאי השני, לעבוד, בין בתמורה בין בהתנדבות, בעבודה הכוללת אפשרות כניסה לבתים ולרשות הפרט. לשיטתה, בכך שהנאשם הגיע לבית המתלוננת, לפי הכרעת הדין, לצורך קיום יחסי מין בתשלום, ושהה עימה ביחידות, הוא הפר את צו הפיקוח, על שני תנאיו. </w:t>
      </w:r>
    </w:p>
    <w:p w:rsidR="004523B2" w:rsidRDefault="00DE0CBF" w:rsidP="00DE0CBF">
      <w:pPr>
        <w:tabs>
          <w:tab w:val="left" w:pos="567"/>
          <w:tab w:val="left" w:pos="1134"/>
          <w:tab w:val="left" w:pos="1701"/>
        </w:tabs>
        <w:spacing w:line="360" w:lineRule="auto"/>
        <w:ind w:left="567" w:hanging="567"/>
        <w:jc w:val="both"/>
        <w:rPr>
          <w:rFonts w:eastAsia="Calibri"/>
          <w:rtl/>
        </w:rPr>
      </w:pPr>
      <w:r>
        <w:rPr>
          <w:rFonts w:eastAsia="Calibri"/>
          <w:rtl/>
        </w:rPr>
        <w:tab/>
      </w:r>
    </w:p>
    <w:p w:rsidR="004523B2" w:rsidRDefault="004523B2" w:rsidP="004523B2">
      <w:pPr>
        <w:tabs>
          <w:tab w:val="left" w:pos="567"/>
          <w:tab w:val="left" w:pos="1134"/>
          <w:tab w:val="left" w:pos="1701"/>
        </w:tabs>
        <w:spacing w:line="360" w:lineRule="auto"/>
        <w:ind w:left="567" w:hanging="567"/>
        <w:jc w:val="both"/>
        <w:rPr>
          <w:rFonts w:eastAsia="Calibri"/>
          <w:rtl/>
        </w:rPr>
      </w:pPr>
      <w:r>
        <w:rPr>
          <w:rFonts w:eastAsia="Calibri"/>
          <w:rtl/>
        </w:rPr>
        <w:tab/>
      </w:r>
      <w:r w:rsidR="00DE0CBF" w:rsidRPr="00DE0CBF">
        <w:rPr>
          <w:rFonts w:eastAsia="Calibri"/>
          <w:rtl/>
        </w:rPr>
        <w:t xml:space="preserve">ב"כ המאשימה הפנתה לעונש הקבוע בצידה של העבירה בה הורשע הנאשם, שנתיים מאסר, וטענה כי מתחם העונש ההולם לעבירה בנסיבות כאן, צריך להיות גבוה וחמור, הן בגבולו התחתון והן בגבולו העליון, לאור הקביעה השיפוטית כי הנאשם נתן שירותי זנות. המאשימה הפנתה למדיניות הענישה הנהוגה, וטענה כי המדובר רק בנדבך אחד מתוך הנדבכים הדרושים לצורך קביעת המתחם ההולם ועל כן אין בכך שהענישה העולה מהם נמוכה מן המתחם שלו היא עותרת, כדי לשנות מן הצורך בהחמרה בנסיבות כאן. המאשימה עתרה למתחם הנע בין 12 ל- 24 חודשי מאסר בפועל וטענה כי עברו הפלילי המכביד, העדר נטילת אחריות מצידו ובחינת כל יתר השיקולים המנויים בחוק, מובילים למסקנה כי את דינו של הנאשם יש לגזור על פי חלקו העליון של מתחם העונש, בנוסף לעונשים נלווים של מאסר מותנה מרתיע, קנס כספי והתחייבות להימנע מביצוע עבירות על פי חוק ההגנה על הציבור מפני ביצוע עבירות מין, תשס"ו – 2006 (להלן: </w:t>
      </w:r>
      <w:r w:rsidR="00DE0CBF" w:rsidRPr="00DE0CBF">
        <w:rPr>
          <w:rFonts w:eastAsia="Calibri"/>
          <w:b/>
          <w:bCs/>
          <w:rtl/>
        </w:rPr>
        <w:t>"חוק ההגנה"</w:t>
      </w:r>
      <w:r w:rsidR="00DE0CBF" w:rsidRPr="00DE0CBF">
        <w:rPr>
          <w:rFonts w:eastAsia="Calibri"/>
          <w:rtl/>
        </w:rPr>
        <w:t>).</w:t>
      </w:r>
    </w:p>
    <w:p w:rsidR="004523B2" w:rsidRDefault="004523B2" w:rsidP="004523B2">
      <w:pPr>
        <w:tabs>
          <w:tab w:val="left" w:pos="567"/>
          <w:tab w:val="left" w:pos="1134"/>
          <w:tab w:val="left" w:pos="1701"/>
        </w:tabs>
        <w:spacing w:line="360" w:lineRule="auto"/>
        <w:ind w:left="567" w:hanging="567"/>
        <w:jc w:val="both"/>
        <w:rPr>
          <w:rFonts w:eastAsia="Calibri"/>
          <w:rtl/>
        </w:rPr>
      </w:pPr>
    </w:p>
    <w:p w:rsidR="004523B2" w:rsidRDefault="004523B2" w:rsidP="004523B2">
      <w:pPr>
        <w:tabs>
          <w:tab w:val="left" w:pos="567"/>
          <w:tab w:val="left" w:pos="1134"/>
          <w:tab w:val="left" w:pos="1701"/>
        </w:tabs>
        <w:spacing w:line="360" w:lineRule="auto"/>
        <w:ind w:left="567" w:hanging="567"/>
        <w:jc w:val="both"/>
        <w:rPr>
          <w:rFonts w:eastAsia="Calibri"/>
          <w:rtl/>
        </w:rPr>
      </w:pPr>
      <w:r>
        <w:rPr>
          <w:rFonts w:eastAsia="Calibri" w:hint="cs"/>
          <w:rtl/>
        </w:rPr>
        <w:t>8.</w:t>
      </w:r>
      <w:r>
        <w:rPr>
          <w:rFonts w:eastAsia="Calibri"/>
          <w:rtl/>
        </w:rPr>
        <w:tab/>
      </w:r>
      <w:r>
        <w:rPr>
          <w:rFonts w:eastAsia="Calibri" w:hint="cs"/>
          <w:rtl/>
        </w:rPr>
        <w:t>ב</w:t>
      </w:r>
      <w:r w:rsidR="00DE0CBF" w:rsidRPr="00DE0CBF">
        <w:rPr>
          <w:rFonts w:eastAsia="Calibri"/>
          <w:rtl/>
        </w:rPr>
        <w:t xml:space="preserve">"כ הנאשם טען כי הנאשם הודה, מראשית החקירה וגם בבית המשפט, בהפרת צו הפיקוח וטען כי הפרת הצו באה לידי ביטוי בכך שהנאשם קיים עם המתלוננת יחסי מין בהסכמה </w:t>
      </w:r>
      <w:r w:rsidR="00DE0CBF" w:rsidRPr="00DE0CBF">
        <w:rPr>
          <w:rFonts w:eastAsia="Calibri"/>
          <w:rtl/>
        </w:rPr>
        <w:lastRenderedPageBreak/>
        <w:t xml:space="preserve">ובתמורה ושהה עימה ביחידות. עוד טען, כי הסיקור התקשורתי הנרחב של הפרשה גרם לפגיעה קשה בנאשם, כאשר תמונתו פורסמה ברבים והסיקור בעניינו היה עוין. בשל כך, טען ב"כ הנאשם, נפגעו סיכוייו של הנאשם להשתלב בחברה האזרחית ובמקום עבודה כלשהו והוא ייאלץ להתמודד כל חייו עם פרסום היותו עבריין מין מורשע. ב"כ הנאשם הפנה לפסקי דין אשר ניתנו בעניינם של מפרי צווי פיקוח וטען למדיניות ענישה שנעה בין מאסר מותנה עד מאסר קצר שירוצה בעבודות שירות או מאסר קצר שירוצה מאחורי סורג ובריח. לפסקי הדין אשר אליהם הפנה ב"כ הנאשם, נתייחס בהמשך, על פי הצורך. הנאשם טען כי הוא מוחזק במעצר מאז 25.7.22 וכי בנסיבות כאן, כאשר בית המשפט זיכה אותו מעבירת האינוס ובכך למעשה קיבל את גרסתו ליחסי מין מוסכמים, הרי שאין המדובר בהפרה בוטה של צו הפיקוח. אשר לנסיבותיו האישיות של הנאשם, נטען כי הודה בעבירה מיד ונטל אחריות לכך וכי פרסומו בציבור גרם לו לנזק. עוד נטען כי הנאשם מתכנן לפנות מיד עם שחרורו למרכז השיקום "פסגה" בו עבר את תהליך השיקום אשר הופסק עם מעצרו, על מנת להמשיך בתהליך הטיפולי. ב"כ הנאשם טען כי אמנם לנאשם עבר פלילי מכביד, אולם אין לחובתו הרשעה נוספת קודמת בגין הפרת צו פיקוח. </w:t>
      </w:r>
    </w:p>
    <w:p w:rsidR="004523B2" w:rsidRDefault="004523B2" w:rsidP="004523B2">
      <w:pPr>
        <w:tabs>
          <w:tab w:val="left" w:pos="567"/>
          <w:tab w:val="left" w:pos="1134"/>
          <w:tab w:val="left" w:pos="1701"/>
        </w:tabs>
        <w:spacing w:line="360" w:lineRule="auto"/>
        <w:ind w:left="567" w:hanging="567"/>
        <w:jc w:val="both"/>
        <w:rPr>
          <w:rFonts w:eastAsia="Calibri"/>
          <w:rtl/>
        </w:rPr>
      </w:pPr>
    </w:p>
    <w:p w:rsidR="00DE0CBF" w:rsidRPr="00DE0CBF" w:rsidRDefault="004523B2" w:rsidP="004523B2">
      <w:pPr>
        <w:tabs>
          <w:tab w:val="left" w:pos="567"/>
          <w:tab w:val="left" w:pos="1134"/>
          <w:tab w:val="left" w:pos="1701"/>
        </w:tabs>
        <w:spacing w:line="360" w:lineRule="auto"/>
        <w:ind w:left="567" w:hanging="567"/>
        <w:jc w:val="both"/>
        <w:rPr>
          <w:rFonts w:eastAsia="Calibri"/>
        </w:rPr>
      </w:pPr>
      <w:r>
        <w:rPr>
          <w:rFonts w:eastAsia="Calibri" w:hint="cs"/>
          <w:rtl/>
        </w:rPr>
        <w:t>9.</w:t>
      </w:r>
      <w:r>
        <w:rPr>
          <w:rFonts w:eastAsia="Calibri" w:hint="cs"/>
          <w:rtl/>
        </w:rPr>
        <w:tab/>
      </w:r>
      <w:r w:rsidR="00DE0CBF" w:rsidRPr="00DE0CBF">
        <w:rPr>
          <w:rFonts w:eastAsia="Calibri"/>
          <w:rtl/>
        </w:rPr>
        <w:t>בדברו האחרון, הביע הנאשם צער, הגם שבשפה רפה.</w:t>
      </w:r>
    </w:p>
    <w:p w:rsidR="00DE0CBF" w:rsidRPr="00DE0CBF" w:rsidRDefault="00DE0CBF" w:rsidP="00DE0CBF">
      <w:pPr>
        <w:tabs>
          <w:tab w:val="left" w:pos="567"/>
          <w:tab w:val="left" w:pos="1134"/>
          <w:tab w:val="left" w:pos="1701"/>
        </w:tabs>
        <w:spacing w:after="160" w:line="256" w:lineRule="auto"/>
        <w:ind w:left="720" w:hanging="1"/>
        <w:contextualSpacing/>
        <w:jc w:val="both"/>
        <w:rPr>
          <w:rFonts w:eastAsia="Calibri"/>
        </w:rPr>
      </w:pPr>
    </w:p>
    <w:p w:rsidR="004523B2" w:rsidRDefault="004523B2" w:rsidP="004523B2">
      <w:pPr>
        <w:tabs>
          <w:tab w:val="left" w:pos="567"/>
          <w:tab w:val="left" w:pos="1134"/>
          <w:tab w:val="left" w:pos="1701"/>
        </w:tabs>
        <w:spacing w:after="160" w:line="360" w:lineRule="auto"/>
        <w:ind w:hanging="1"/>
        <w:jc w:val="both"/>
        <w:rPr>
          <w:rFonts w:eastAsia="Calibri"/>
          <w:rtl/>
        </w:rPr>
      </w:pPr>
      <w:r w:rsidRPr="004523B2">
        <w:rPr>
          <w:rFonts w:eastAsia="Calibri"/>
          <w:b/>
          <w:bCs/>
          <w:rtl/>
        </w:rPr>
        <w:tab/>
      </w:r>
      <w:r w:rsidRPr="004523B2">
        <w:rPr>
          <w:rFonts w:eastAsia="Calibri"/>
          <w:b/>
          <w:bCs/>
          <w:rtl/>
        </w:rPr>
        <w:tab/>
      </w:r>
      <w:r w:rsidR="00DE0CBF" w:rsidRPr="00DE0CBF">
        <w:rPr>
          <w:rFonts w:eastAsia="Calibri"/>
          <w:b/>
          <w:bCs/>
          <w:u w:val="single"/>
          <w:rtl/>
        </w:rPr>
        <w:t>מתחם העונש ההולם</w:t>
      </w:r>
    </w:p>
    <w:p w:rsidR="004523B2" w:rsidRDefault="004523B2" w:rsidP="004523B2">
      <w:pPr>
        <w:tabs>
          <w:tab w:val="left" w:pos="567"/>
          <w:tab w:val="left" w:pos="1134"/>
          <w:tab w:val="left" w:pos="1701"/>
        </w:tabs>
        <w:spacing w:after="160" w:line="360" w:lineRule="auto"/>
        <w:ind w:hanging="1"/>
        <w:jc w:val="both"/>
        <w:rPr>
          <w:rFonts w:eastAsia="Calibri"/>
          <w:rtl/>
        </w:rPr>
      </w:pPr>
      <w:r>
        <w:rPr>
          <w:rFonts w:eastAsia="Calibri" w:hint="cs"/>
          <w:rtl/>
        </w:rPr>
        <w:t>10.</w:t>
      </w:r>
      <w:r>
        <w:rPr>
          <w:rFonts w:eastAsia="Calibri" w:hint="cs"/>
          <w:rtl/>
        </w:rPr>
        <w:tab/>
      </w:r>
      <w:r w:rsidR="00DE0CBF" w:rsidRPr="00DE0CBF">
        <w:rPr>
          <w:rFonts w:eastAsia="Calibri"/>
          <w:rtl/>
        </w:rPr>
        <w:t xml:space="preserve">לצורך קביעת מתחם העונש בתיק זה, יש לבחון את מידת הפגיעה של המעשים בערכים </w:t>
      </w:r>
      <w:r>
        <w:rPr>
          <w:rFonts w:eastAsia="Calibri"/>
          <w:rtl/>
        </w:rPr>
        <w:tab/>
      </w:r>
      <w:r w:rsidR="00DE0CBF" w:rsidRPr="00DE0CBF">
        <w:rPr>
          <w:rFonts w:eastAsia="Calibri"/>
          <w:rtl/>
        </w:rPr>
        <w:t>המוגנים, את מדיניות הענישה הנוהגת ואת נסיבות ביצוע המעשה.</w:t>
      </w:r>
    </w:p>
    <w:p w:rsidR="004523B2" w:rsidRDefault="004523B2" w:rsidP="004523B2">
      <w:pPr>
        <w:tabs>
          <w:tab w:val="left" w:pos="567"/>
          <w:tab w:val="left" w:pos="1134"/>
          <w:tab w:val="left" w:pos="1701"/>
        </w:tabs>
        <w:spacing w:after="160" w:line="360" w:lineRule="auto"/>
        <w:ind w:left="567" w:hanging="567"/>
        <w:jc w:val="both"/>
        <w:rPr>
          <w:rFonts w:eastAsia="Calibri"/>
          <w:rtl/>
        </w:rPr>
      </w:pPr>
      <w:r>
        <w:rPr>
          <w:rFonts w:eastAsia="Calibri" w:hint="cs"/>
          <w:rtl/>
        </w:rPr>
        <w:t>11.</w:t>
      </w:r>
      <w:r>
        <w:rPr>
          <w:rFonts w:eastAsia="Calibri" w:hint="cs"/>
          <w:rtl/>
        </w:rPr>
        <w:tab/>
      </w:r>
      <w:r w:rsidR="00DE0CBF" w:rsidRPr="00DE0CBF">
        <w:rPr>
          <w:rFonts w:eastAsia="Calibri"/>
          <w:rtl/>
        </w:rPr>
        <w:t>תכליתו של צו הפיקוח היא להגן על הציבור מפני עברייני מין וזאת ללא קשר לעונשים אשר נגזרו עליהם ולמנוע מעבריין המין מלהיחשף לגורמי סיכון לביצוע עבירות חוזרות. במעשיו של הנאשם, נפגעה זכות הציבור להגנה על שלומו ובטחונו מפני עברייני מין מורשעים, נפגעה גם תחושת הבטחון של הציבור ונפגע שלטון החוק. הנאשם הפר את הצו כאשר הוא נכנס אל ביתה של המתלוננת לצורך שירותי מין</w:t>
      </w:r>
      <w:r w:rsidR="00DE0CBF" w:rsidRPr="00DE0CBF">
        <w:rPr>
          <w:rFonts w:eastAsia="Calibri"/>
          <w:color w:val="C00000"/>
          <w:rtl/>
        </w:rPr>
        <w:t xml:space="preserve"> </w:t>
      </w:r>
      <w:r w:rsidR="00DE0CBF" w:rsidRPr="00DE0CBF">
        <w:rPr>
          <w:rFonts w:eastAsia="Calibri"/>
          <w:rtl/>
        </w:rPr>
        <w:t xml:space="preserve">בתשלום, כאשר זהו אחד המצבים שהצו בא למנוע וכאשר אלו בדיוק גורמי הסיכון מהם ביקש הצו להרחיק את הנאשם. </w:t>
      </w:r>
    </w:p>
    <w:p w:rsidR="004523B2" w:rsidRDefault="004523B2" w:rsidP="004523B2">
      <w:pPr>
        <w:tabs>
          <w:tab w:val="left" w:pos="567"/>
          <w:tab w:val="left" w:pos="1134"/>
          <w:tab w:val="left" w:pos="1701"/>
        </w:tabs>
        <w:spacing w:after="160" w:line="360" w:lineRule="auto"/>
        <w:ind w:left="567" w:hanging="567"/>
        <w:jc w:val="both"/>
        <w:rPr>
          <w:rFonts w:eastAsia="Calibri"/>
          <w:rtl/>
        </w:rPr>
      </w:pPr>
      <w:r>
        <w:rPr>
          <w:rFonts w:eastAsia="Calibri"/>
          <w:rtl/>
        </w:rPr>
        <w:tab/>
      </w:r>
      <w:r w:rsidR="00DE0CBF" w:rsidRPr="00DE0CBF">
        <w:rPr>
          <w:rFonts w:eastAsia="Calibri"/>
          <w:rtl/>
        </w:rPr>
        <w:t xml:space="preserve">הפגיעה בערכים המוגנים במעשהו של הנאשם כאן, היא ברף הגבוה, הממשי, בנסיבות. </w:t>
      </w:r>
    </w:p>
    <w:p w:rsidR="004523B2" w:rsidRDefault="004523B2" w:rsidP="004523B2">
      <w:pPr>
        <w:tabs>
          <w:tab w:val="left" w:pos="567"/>
          <w:tab w:val="left" w:pos="1134"/>
          <w:tab w:val="left" w:pos="1701"/>
        </w:tabs>
        <w:spacing w:after="160" w:line="360" w:lineRule="auto"/>
        <w:ind w:left="567" w:hanging="567"/>
        <w:jc w:val="both"/>
        <w:rPr>
          <w:rFonts w:eastAsia="Calibri"/>
          <w:rtl/>
        </w:rPr>
      </w:pPr>
      <w:r>
        <w:rPr>
          <w:rFonts w:eastAsia="Calibri" w:hint="cs"/>
          <w:rtl/>
        </w:rPr>
        <w:t>12.</w:t>
      </w:r>
      <w:r>
        <w:rPr>
          <w:rFonts w:eastAsia="Calibri" w:hint="cs"/>
          <w:rtl/>
        </w:rPr>
        <w:tab/>
      </w:r>
      <w:r w:rsidR="00DE0CBF" w:rsidRPr="00DE0CBF">
        <w:rPr>
          <w:rFonts w:eastAsia="Calibri"/>
          <w:rtl/>
        </w:rPr>
        <w:t xml:space="preserve">אשר למדיניות הענישה בעבירה בה הורשע הנאשם כאן, הרי שהמאשימה הפנתה לפסיקה אשר נעה בין 8 ל- 10 חודשי מאסר בפועל (ע"פ (מחוזי צפון) 17409-12-17 </w:t>
      </w:r>
      <w:r w:rsidR="00DE0CBF" w:rsidRPr="00DE0CBF">
        <w:rPr>
          <w:rFonts w:eastAsia="Calibri"/>
          <w:b/>
          <w:bCs/>
          <w:rtl/>
        </w:rPr>
        <w:t>בורסאי נ' מ"י</w:t>
      </w:r>
      <w:r w:rsidR="00DE0CBF" w:rsidRPr="00DE0CBF">
        <w:rPr>
          <w:rFonts w:eastAsia="Calibri"/>
          <w:rtl/>
        </w:rPr>
        <w:t xml:space="preserve"> (23.1.18), עפ"ג (מחוזי מרכז) 7934-06-11 </w:t>
      </w:r>
      <w:r w:rsidR="00DE0CBF" w:rsidRPr="00DE0CBF">
        <w:rPr>
          <w:rFonts w:eastAsia="Calibri"/>
          <w:b/>
          <w:bCs/>
          <w:rtl/>
        </w:rPr>
        <w:t>כהן גדול נ' מ"י</w:t>
      </w:r>
      <w:r w:rsidR="00DE0CBF" w:rsidRPr="00DE0CBF">
        <w:rPr>
          <w:rFonts w:eastAsia="Calibri"/>
          <w:rtl/>
        </w:rPr>
        <w:t xml:space="preserve"> (17.7.11), רע"פ 6978/20 </w:t>
      </w:r>
      <w:r w:rsidR="00DE0CBF" w:rsidRPr="00DE0CBF">
        <w:rPr>
          <w:rFonts w:eastAsia="Calibri"/>
          <w:b/>
          <w:bCs/>
          <w:rtl/>
        </w:rPr>
        <w:t>פלוני נ' מ"י</w:t>
      </w:r>
      <w:r w:rsidR="00DE0CBF" w:rsidRPr="00DE0CBF">
        <w:rPr>
          <w:rFonts w:eastAsia="Calibri"/>
          <w:rtl/>
        </w:rPr>
        <w:t xml:space="preserve"> (10.1.21)). </w:t>
      </w:r>
    </w:p>
    <w:p w:rsidR="004523B2" w:rsidRDefault="004523B2" w:rsidP="004523B2">
      <w:pPr>
        <w:tabs>
          <w:tab w:val="left" w:pos="567"/>
          <w:tab w:val="left" w:pos="1134"/>
          <w:tab w:val="left" w:pos="1701"/>
        </w:tabs>
        <w:spacing w:after="160" w:line="360" w:lineRule="auto"/>
        <w:ind w:left="567" w:hanging="567"/>
        <w:jc w:val="both"/>
        <w:rPr>
          <w:rFonts w:eastAsia="Calibri"/>
          <w:rtl/>
        </w:rPr>
      </w:pPr>
      <w:r>
        <w:rPr>
          <w:rFonts w:eastAsia="Calibri"/>
          <w:rtl/>
        </w:rPr>
        <w:lastRenderedPageBreak/>
        <w:tab/>
      </w:r>
      <w:r w:rsidR="00DE0CBF" w:rsidRPr="00DE0CBF">
        <w:rPr>
          <w:rFonts w:eastAsia="Calibri"/>
          <w:rtl/>
        </w:rPr>
        <w:t xml:space="preserve">הנאשם הפנה ל- 18 פסקי דין ועיון בהם מעלה כי העונשים באותם מקרים נעו בין מאסר מותנה ל- 8 חודשי מאסר בפועל כאשר הרף העליון האמור הוטל במקרה שבו הורשע הנאשם ב- 5 הפרות של צו הפיקוח. עוד הפנה למתחמים השונים הנקבעים על ידי הערכאה אשר בסמכותה לדון בעבירה זו, בית משפט השלום, אשר קבע במקרים רבים כי מתחם העונש הראוי נע בין מאסר מותנה למספר חודשי מאסר אשר יכול וירוצו בעבודות שירות (ראו למשל רע"פ 1209/18 </w:t>
      </w:r>
      <w:r w:rsidR="00DE0CBF" w:rsidRPr="00DE0CBF">
        <w:rPr>
          <w:rFonts w:eastAsia="Calibri"/>
          <w:b/>
          <w:bCs/>
          <w:rtl/>
        </w:rPr>
        <w:t>פלוני נ' מ"י</w:t>
      </w:r>
      <w:r w:rsidR="00DE0CBF" w:rsidRPr="00DE0CBF">
        <w:rPr>
          <w:rFonts w:eastAsia="Calibri"/>
          <w:rtl/>
        </w:rPr>
        <w:t xml:space="preserve"> (18.2.18), רע"פ 6870/21 </w:t>
      </w:r>
      <w:r w:rsidR="00DE0CBF" w:rsidRPr="00DE0CBF">
        <w:rPr>
          <w:rFonts w:eastAsia="Calibri"/>
          <w:b/>
          <w:bCs/>
          <w:rtl/>
        </w:rPr>
        <w:t>דהן נ' מ"י</w:t>
      </w:r>
      <w:r w:rsidR="00DE0CBF" w:rsidRPr="00DE0CBF">
        <w:rPr>
          <w:rFonts w:eastAsia="Calibri"/>
          <w:rtl/>
        </w:rPr>
        <w:t xml:space="preserve"> (19.10.21), רע"פ 2502/20 </w:t>
      </w:r>
      <w:r w:rsidR="00DE0CBF" w:rsidRPr="00DE0CBF">
        <w:rPr>
          <w:rFonts w:eastAsia="Calibri"/>
          <w:b/>
          <w:bCs/>
          <w:rtl/>
        </w:rPr>
        <w:t>פלוני נ' מ"י</w:t>
      </w:r>
      <w:r w:rsidR="00DE0CBF" w:rsidRPr="00DE0CBF">
        <w:rPr>
          <w:rFonts w:eastAsia="Calibri"/>
          <w:rtl/>
        </w:rPr>
        <w:t xml:space="preserve"> (16.4.20)).</w:t>
      </w:r>
    </w:p>
    <w:p w:rsidR="004523B2" w:rsidRDefault="004523B2" w:rsidP="004523B2">
      <w:pPr>
        <w:tabs>
          <w:tab w:val="left" w:pos="567"/>
          <w:tab w:val="left" w:pos="1134"/>
          <w:tab w:val="left" w:pos="1701"/>
        </w:tabs>
        <w:spacing w:after="160" w:line="360" w:lineRule="auto"/>
        <w:ind w:left="567" w:hanging="567"/>
        <w:jc w:val="both"/>
        <w:rPr>
          <w:rFonts w:eastAsia="Calibri"/>
          <w:rtl/>
        </w:rPr>
      </w:pPr>
      <w:r>
        <w:rPr>
          <w:rFonts w:eastAsia="Calibri"/>
          <w:rtl/>
        </w:rPr>
        <w:tab/>
      </w:r>
      <w:r w:rsidR="00DE0CBF" w:rsidRPr="00DE0CBF">
        <w:rPr>
          <w:rFonts w:eastAsia="Calibri"/>
          <w:rtl/>
        </w:rPr>
        <w:t>מעבר לפסקי הדין שהובאו על ידי הצדדים, נבקש להפנות לע"פ 6823/18 </w:t>
      </w:r>
      <w:r w:rsidR="00DE0CBF" w:rsidRPr="00DE0CBF">
        <w:rPr>
          <w:rFonts w:eastAsia="Calibri"/>
          <w:b/>
          <w:bCs/>
          <w:rtl/>
        </w:rPr>
        <w:t>רומן לוין נ' מ"י</w:t>
      </w:r>
      <w:r w:rsidR="00DE0CBF" w:rsidRPr="00DE0CBF">
        <w:rPr>
          <w:rFonts w:eastAsia="Calibri"/>
          <w:rtl/>
        </w:rPr>
        <w:t xml:space="preserve"> (5.3.20) אשר בו הורשע הנאשם בעבירות של מעשה מגונה בכוח בקטינה בת 4 ובעבירה של הפרת צו פיקוח. בית המשפט המחוזי גזר עליו 8.5 שנות מאסר בגין העבירה של מעשה מגונה ושנה וחצי בפועל, במצטבר, בגין הפרת צו הפיקוח. בית המשפט העליון קבע כי בית המשפט המחוזי חרג לחומרה ממדיניות הענישה הנוהגת תוך שהוא מציין את עקרון אחידות הענישה והפחית בעונשו של הנאשם בגין העבירה של מעשה מגונה לשבע שנים כאשר את העונש בגין הפרת צו הפיקוח, הותיר על כנו. </w:t>
      </w:r>
    </w:p>
    <w:p w:rsidR="004523B2" w:rsidRDefault="004523B2" w:rsidP="004523B2">
      <w:pPr>
        <w:tabs>
          <w:tab w:val="left" w:pos="567"/>
          <w:tab w:val="left" w:pos="1134"/>
          <w:tab w:val="left" w:pos="1701"/>
        </w:tabs>
        <w:spacing w:after="160" w:line="360" w:lineRule="auto"/>
        <w:ind w:left="567" w:hanging="567"/>
        <w:jc w:val="both"/>
        <w:rPr>
          <w:rFonts w:eastAsia="Calibri"/>
          <w:rtl/>
        </w:rPr>
      </w:pPr>
      <w:r>
        <w:rPr>
          <w:rFonts w:eastAsia="Calibri"/>
          <w:rtl/>
        </w:rPr>
        <w:tab/>
      </w:r>
      <w:r w:rsidR="00DE0CBF" w:rsidRPr="00DE0CBF">
        <w:rPr>
          <w:rFonts w:eastAsia="Calibri"/>
          <w:rtl/>
        </w:rPr>
        <w:t xml:space="preserve">עוד נפנה לע"פ 3217/14 </w:t>
      </w:r>
      <w:r w:rsidR="00DE0CBF" w:rsidRPr="00DE0CBF">
        <w:rPr>
          <w:rFonts w:eastAsia="Calibri"/>
          <w:b/>
          <w:bCs/>
          <w:rtl/>
        </w:rPr>
        <w:t>פלוני נ' מדינת ישראל</w:t>
      </w:r>
      <w:r w:rsidR="00DE0CBF" w:rsidRPr="00DE0CBF">
        <w:rPr>
          <w:rFonts w:eastAsia="Calibri"/>
          <w:rtl/>
        </w:rPr>
        <w:t xml:space="preserve"> (31.07.2016) בו הורשע נאשם בעבירות של אינוס ומעשה סדום (3 עבירות), תקיפה, איומים, מעשה פזיזות ורשלנות והדחה בחקירה ובעדות וכן בעבירה של הפרת צו פיקוח בגינה הוטלה עליו שנת מאסר בפועל. העונשים שנגזרו בגין העבירות השונות הוחלו חלקם במצטבר וחלקם בחופף כך שסה"כ נגזרו על אותו נאשם 14 שנות מאסר בפועל. בית המשפט העליון ציין כי כל אחד מן העונשים נקבע </w:t>
      </w:r>
      <w:r w:rsidR="00DE0CBF" w:rsidRPr="00DE0CBF">
        <w:rPr>
          <w:rFonts w:eastAsia="Calibri"/>
          <w:rtl/>
        </w:rPr>
        <w:br/>
        <w:t xml:space="preserve">"על הצד הגבוה" וכי מאחר שבמסגרת הערעור הוחלט לזכות את הנאשם מאחת מעבירות האינוס בהן הורשע, הופחת עונשו והועמד על 12.5 שנות מאסר בפועל (לפני צירוף עונשי מאסר מותנה שהופעלו). </w:t>
      </w:r>
    </w:p>
    <w:p w:rsidR="004523B2" w:rsidRDefault="004523B2" w:rsidP="004523B2">
      <w:pPr>
        <w:tabs>
          <w:tab w:val="left" w:pos="567"/>
          <w:tab w:val="left" w:pos="1134"/>
          <w:tab w:val="left" w:pos="1701"/>
        </w:tabs>
        <w:spacing w:after="160" w:line="360" w:lineRule="auto"/>
        <w:ind w:left="567" w:hanging="567"/>
        <w:jc w:val="both"/>
        <w:rPr>
          <w:rFonts w:eastAsia="Calibri"/>
          <w:rtl/>
        </w:rPr>
      </w:pPr>
      <w:r>
        <w:rPr>
          <w:rFonts w:eastAsia="Calibri"/>
          <w:rtl/>
        </w:rPr>
        <w:tab/>
      </w:r>
      <w:r w:rsidR="00DE0CBF" w:rsidRPr="00DE0CBF">
        <w:rPr>
          <w:rFonts w:eastAsia="Calibri"/>
          <w:rtl/>
        </w:rPr>
        <w:t xml:space="preserve">ערים אנו לכך שלא ניתן לגזור גזירה שווה מפסקי הדין הללו שהובאו על ידינו לענייננו אנו, שכן באותם מקרים הורשעו הנאשמים בעבירות מין חמורות נוספות על נופך החומרה ומרכז הכובד הנגזרים מכך, גם אשר לעבירה הנלווית של הפרת צו פיקוח, בעוד שבענייננו, הפרת הצו הינה עבירה יחידה בה הורשע הנאשם. על כל פנים, פסקי הדין הנ"ל הובאו על ידינו על מנת להראות כי גם במקרים חמורים שבהם נגזר עונש בגין הפרת צו פיקוח לצד ביצוע עבירות מין, הענישה המקסימלית בגין הפרת הצו עמדה על - 18 חודשי מאסר בפועל. יתרה מזאת, בית המשפט העליון, בהתייחסו לענישה זו שהוטלה על ידי בית המשפט המחוזי, סבר כי המדובר בענישה שהיא מחמירה מן המדיניות הנוהגת. לא מצאנו ואף ב"כ המאשימה, בהגינותה, ציינה כי אין בנמצא גזרי דין התומכים בעתירתה לעונש, וודאי לא ברף העליון של המתחם שלו טענה, 24 חודשים, שהוא גם העונש המקסימלי הקבוע בצידה של העבירה. </w:t>
      </w:r>
    </w:p>
    <w:p w:rsidR="004523B2" w:rsidRDefault="004523B2" w:rsidP="004523B2">
      <w:pPr>
        <w:tabs>
          <w:tab w:val="left" w:pos="567"/>
          <w:tab w:val="left" w:pos="1134"/>
          <w:tab w:val="left" w:pos="1701"/>
        </w:tabs>
        <w:spacing w:after="160" w:line="360" w:lineRule="auto"/>
        <w:ind w:left="567" w:hanging="567"/>
        <w:jc w:val="both"/>
        <w:rPr>
          <w:rFonts w:eastAsia="Calibri"/>
          <w:rtl/>
        </w:rPr>
      </w:pPr>
      <w:r>
        <w:rPr>
          <w:rFonts w:eastAsia="Calibri"/>
          <w:rtl/>
        </w:rPr>
        <w:lastRenderedPageBreak/>
        <w:tab/>
      </w:r>
      <w:r w:rsidR="00DE0CBF" w:rsidRPr="00DE0CBF">
        <w:rPr>
          <w:rFonts w:eastAsia="Calibri"/>
          <w:rtl/>
        </w:rPr>
        <w:t>נוסיף ונפנה לעוד פסק דין נוסף, מבית המשפט המחוזי בירושלים, אשר ניתן במסגרת עפ"ג 5723-10-15 </w:t>
      </w:r>
      <w:r w:rsidR="00DE0CBF" w:rsidRPr="00DE0CBF">
        <w:rPr>
          <w:rFonts w:eastAsia="Calibri"/>
          <w:b/>
          <w:bCs/>
          <w:rtl/>
        </w:rPr>
        <w:t>פבלו ארטפוך נ' מדינת ישראל</w:t>
      </w:r>
      <w:r w:rsidR="00DE0CBF" w:rsidRPr="00DE0CBF">
        <w:rPr>
          <w:rFonts w:eastAsia="Calibri"/>
          <w:rtl/>
        </w:rPr>
        <w:t xml:space="preserve"> (11.11.2015)‏‏ עניינו ערעור על גזר-דינו של בית-משפט השלום אשר הרשיע את המערער על-פי הודאתו בשש עבירות של הפרת צו פיקוח, באיומים ובהטרדת עד. נגזרו עליו 12 חודשי מאסר בפועל וכן הופעל מאסר על תנאי (חודשיים בחופף ושלושה חודשים במצטבר), כך שתקופת המאסר הכוללת הועמדה על 15 חודשים. </w:t>
      </w:r>
    </w:p>
    <w:p w:rsidR="004523B2" w:rsidRDefault="004523B2" w:rsidP="004523B2">
      <w:pPr>
        <w:tabs>
          <w:tab w:val="left" w:pos="567"/>
          <w:tab w:val="left" w:pos="1134"/>
          <w:tab w:val="left" w:pos="1701"/>
        </w:tabs>
        <w:spacing w:after="160" w:line="360" w:lineRule="auto"/>
        <w:ind w:left="567" w:hanging="567"/>
        <w:jc w:val="both"/>
        <w:rPr>
          <w:rFonts w:eastAsia="Calibri"/>
          <w:rtl/>
        </w:rPr>
      </w:pPr>
      <w:r>
        <w:rPr>
          <w:rFonts w:eastAsia="Calibri" w:hint="cs"/>
          <w:rtl/>
        </w:rPr>
        <w:t>13.</w:t>
      </w:r>
      <w:r>
        <w:rPr>
          <w:rFonts w:eastAsia="Calibri" w:hint="cs"/>
          <w:rtl/>
        </w:rPr>
        <w:tab/>
      </w:r>
      <w:r w:rsidR="00DE0CBF" w:rsidRPr="00DE0CBF">
        <w:rPr>
          <w:rFonts w:eastAsia="Calibri"/>
          <w:rtl/>
        </w:rPr>
        <w:t xml:space="preserve">נסיבות המעשה נבחנות גם הן לצורך קביעת מתחם העונש ובענייננו, יש ליתן את הדעת לתכנון שקדם למעשה ולאפשרות שהיתה בידי הנאשם, להימנע מעשותו ולהימנע מהפרת צו הפיקוח. מחומר הראיות ובפרט מחקירות הנאשם עלה כי הוא ידע היטב שאסור לו להיכנס לבית המתלוננת, לצורך קיום יחסי המין בתמורה או אף לצורך ביצוע כל עבודה שהיא והוא יכול היה, לכן, להימנע מביצוע העבירה. </w:t>
      </w:r>
    </w:p>
    <w:p w:rsidR="004523B2" w:rsidRDefault="004523B2" w:rsidP="004523B2">
      <w:pPr>
        <w:tabs>
          <w:tab w:val="left" w:pos="567"/>
          <w:tab w:val="left" w:pos="1134"/>
          <w:tab w:val="left" w:pos="1701"/>
        </w:tabs>
        <w:spacing w:after="160" w:line="360" w:lineRule="auto"/>
        <w:ind w:left="567" w:hanging="567"/>
        <w:jc w:val="both"/>
        <w:rPr>
          <w:rFonts w:eastAsia="Calibri"/>
          <w:b/>
          <w:bCs/>
          <w:u w:val="single"/>
          <w:rtl/>
        </w:rPr>
      </w:pPr>
      <w:r>
        <w:rPr>
          <w:rFonts w:eastAsia="Calibri"/>
          <w:rtl/>
        </w:rPr>
        <w:tab/>
      </w:r>
      <w:r w:rsidR="00DE0CBF" w:rsidRPr="00DE0CBF">
        <w:rPr>
          <w:rFonts w:eastAsia="Calibri"/>
          <w:rtl/>
        </w:rPr>
        <w:t xml:space="preserve">לאחר שבחנו את כלל הנסיבות, את הפגיעה בערכים המוגנים ואת הפסיקה הנוהגת, מצאנו לשקול לחומרת הנאשם את הפגיעה הממשית בערכים המוגנים ונסיבות ביצוע המעשה כאמור וכן את העובדה שצו הפיקוח הוטל במטרה להגן על נפגעות פוטנציאליות מפניו של הנאשם. השיקולים השונים הובילו אותנו למסקנה כי יש לקבוע את מתחם העונש לעבירה בה הורשע הנאשם, בין 6 חודשי מאסר בפועל לבין 12 חודשי מאסר בפועל ועונשים נלווים. </w:t>
      </w:r>
    </w:p>
    <w:p w:rsidR="004523B2" w:rsidRDefault="004523B2" w:rsidP="004523B2">
      <w:pPr>
        <w:tabs>
          <w:tab w:val="left" w:pos="567"/>
          <w:tab w:val="left" w:pos="1134"/>
          <w:tab w:val="left" w:pos="1701"/>
        </w:tabs>
        <w:spacing w:after="160" w:line="360" w:lineRule="auto"/>
        <w:ind w:left="567" w:hanging="567"/>
        <w:jc w:val="both"/>
        <w:rPr>
          <w:rFonts w:eastAsia="Calibri"/>
          <w:rtl/>
        </w:rPr>
      </w:pPr>
      <w:r w:rsidRPr="004523B2">
        <w:rPr>
          <w:rFonts w:eastAsia="Calibri"/>
          <w:b/>
          <w:bCs/>
          <w:rtl/>
        </w:rPr>
        <w:tab/>
      </w:r>
      <w:r w:rsidR="00DE0CBF" w:rsidRPr="00DE0CBF">
        <w:rPr>
          <w:rFonts w:eastAsia="Calibri"/>
          <w:b/>
          <w:bCs/>
          <w:u w:val="single"/>
          <w:rtl/>
        </w:rPr>
        <w:t>גזירת הדין</w:t>
      </w:r>
    </w:p>
    <w:p w:rsidR="004523B2" w:rsidRDefault="004523B2" w:rsidP="004523B2">
      <w:pPr>
        <w:tabs>
          <w:tab w:val="left" w:pos="567"/>
          <w:tab w:val="left" w:pos="1134"/>
          <w:tab w:val="left" w:pos="1701"/>
        </w:tabs>
        <w:spacing w:after="160" w:line="360" w:lineRule="auto"/>
        <w:ind w:left="567" w:hanging="567"/>
        <w:jc w:val="both"/>
        <w:rPr>
          <w:rFonts w:eastAsia="Calibri"/>
          <w:rtl/>
        </w:rPr>
      </w:pPr>
      <w:r>
        <w:rPr>
          <w:rFonts w:eastAsia="Calibri" w:hint="cs"/>
          <w:rtl/>
        </w:rPr>
        <w:t>14.</w:t>
      </w:r>
      <w:r>
        <w:rPr>
          <w:rFonts w:eastAsia="Calibri" w:hint="cs"/>
          <w:rtl/>
        </w:rPr>
        <w:tab/>
      </w:r>
      <w:r w:rsidR="00DE0CBF" w:rsidRPr="00DE0CBF">
        <w:rPr>
          <w:rFonts w:eastAsia="Calibri"/>
          <w:rtl/>
        </w:rPr>
        <w:t xml:space="preserve">בשלב זה של גזירת הדין, על בית המשפט לבחון את נסיבות העושה, הנאשם. </w:t>
      </w:r>
    </w:p>
    <w:p w:rsidR="004523B2" w:rsidRDefault="004523B2" w:rsidP="004523B2">
      <w:pPr>
        <w:tabs>
          <w:tab w:val="left" w:pos="567"/>
          <w:tab w:val="left" w:pos="1134"/>
          <w:tab w:val="left" w:pos="1701"/>
        </w:tabs>
        <w:spacing w:after="160" w:line="360" w:lineRule="auto"/>
        <w:ind w:left="567" w:hanging="567"/>
        <w:jc w:val="both"/>
        <w:rPr>
          <w:rFonts w:eastAsia="Calibri"/>
          <w:rtl/>
        </w:rPr>
      </w:pPr>
      <w:r>
        <w:rPr>
          <w:rFonts w:eastAsia="Calibri"/>
          <w:rtl/>
        </w:rPr>
        <w:tab/>
      </w:r>
      <w:r>
        <w:rPr>
          <w:rFonts w:eastAsia="Calibri" w:hint="cs"/>
          <w:rtl/>
        </w:rPr>
        <w:t>ב</w:t>
      </w:r>
      <w:r w:rsidR="00DE0CBF" w:rsidRPr="00DE0CBF">
        <w:rPr>
          <w:rFonts w:eastAsia="Calibri"/>
          <w:rtl/>
        </w:rPr>
        <w:t xml:space="preserve">מסגרת זו יש לבחון את טענת הנאשם כי לאור הפגיעה שנגרמה לו בשל הסיקור התקשורתי, הרי שהעונש שייגזר יוסיף ויחמיר את הפגיעה ויש לאזן את הדברים. לעניין זה נאמר כי לא סברנו שיש לתת לטענה זו משקל של ממש, בין היתר משעה שהנאשם הורשע, בסופו של יום, בהפרת צו פיקוח. </w:t>
      </w:r>
    </w:p>
    <w:p w:rsidR="004523B2" w:rsidRDefault="004523B2" w:rsidP="004523B2">
      <w:pPr>
        <w:tabs>
          <w:tab w:val="left" w:pos="567"/>
          <w:tab w:val="left" w:pos="1134"/>
          <w:tab w:val="left" w:pos="1701"/>
        </w:tabs>
        <w:spacing w:after="160" w:line="360" w:lineRule="auto"/>
        <w:ind w:left="567" w:hanging="567"/>
        <w:jc w:val="both"/>
        <w:rPr>
          <w:rFonts w:eastAsia="Calibri"/>
          <w:rtl/>
        </w:rPr>
      </w:pPr>
      <w:r>
        <w:rPr>
          <w:rFonts w:eastAsia="Calibri" w:hint="cs"/>
          <w:rtl/>
        </w:rPr>
        <w:t>15.</w:t>
      </w:r>
      <w:r>
        <w:rPr>
          <w:rFonts w:eastAsia="Calibri" w:hint="cs"/>
          <w:rtl/>
        </w:rPr>
        <w:tab/>
      </w:r>
      <w:r w:rsidR="00DE0CBF" w:rsidRPr="00DE0CBF">
        <w:rPr>
          <w:rFonts w:eastAsia="Calibri"/>
          <w:rtl/>
        </w:rPr>
        <w:t xml:space="preserve">הנאשם ביצע את העבירה כשהוא מצוי בעיצומו של תהליך טיפולי שיקומי, לאחר כשנה ומחצה בתהליך ועובדה זו מעמידה בספק גדול את סיכוייו להשתקם ואת רצינות כוונותיו כפי שהוצגו על ידי בא כוחו, לשוב אל התהליך הטיפולי שבו היה ערב מעצרו. </w:t>
      </w:r>
    </w:p>
    <w:p w:rsidR="004523B2" w:rsidRDefault="004523B2" w:rsidP="004523B2">
      <w:pPr>
        <w:tabs>
          <w:tab w:val="left" w:pos="567"/>
          <w:tab w:val="left" w:pos="1134"/>
          <w:tab w:val="left" w:pos="1701"/>
        </w:tabs>
        <w:spacing w:after="160" w:line="360" w:lineRule="auto"/>
        <w:ind w:left="567" w:hanging="567"/>
        <w:jc w:val="both"/>
        <w:rPr>
          <w:rFonts w:eastAsia="Calibri"/>
          <w:rtl/>
        </w:rPr>
      </w:pPr>
      <w:r>
        <w:rPr>
          <w:rFonts w:eastAsia="Calibri"/>
          <w:rtl/>
        </w:rPr>
        <w:tab/>
      </w:r>
      <w:r w:rsidR="00DE0CBF" w:rsidRPr="00DE0CBF">
        <w:rPr>
          <w:rFonts w:eastAsia="Calibri"/>
          <w:rtl/>
        </w:rPr>
        <w:t xml:space="preserve">בדברו האחרון של הנאשם מצאנו אמירה שטחית ורפה אשר לא הותירה רושם של חרטה אמיתית או נטילת אחריות כנה. </w:t>
      </w:r>
    </w:p>
    <w:p w:rsidR="004523B2" w:rsidRDefault="004523B2" w:rsidP="004523B2">
      <w:pPr>
        <w:tabs>
          <w:tab w:val="left" w:pos="567"/>
          <w:tab w:val="left" w:pos="1134"/>
          <w:tab w:val="left" w:pos="1701"/>
        </w:tabs>
        <w:spacing w:after="160" w:line="360" w:lineRule="auto"/>
        <w:ind w:left="567" w:hanging="567"/>
        <w:jc w:val="both"/>
        <w:rPr>
          <w:rFonts w:eastAsia="Calibri"/>
          <w:color w:val="000000"/>
          <w:rtl/>
        </w:rPr>
      </w:pPr>
      <w:r>
        <w:rPr>
          <w:rFonts w:eastAsia="Calibri"/>
          <w:rtl/>
        </w:rPr>
        <w:tab/>
      </w:r>
      <w:r w:rsidR="00DE0CBF" w:rsidRPr="00DE0CBF">
        <w:rPr>
          <w:rFonts w:eastAsia="Calibri"/>
          <w:rtl/>
        </w:rPr>
        <w:t xml:space="preserve">עברו הפלילי של הנאשם משמעותי וגם הוא בעל משקל לשלב זה של גזירת הדין. </w:t>
      </w:r>
    </w:p>
    <w:p w:rsidR="004523B2" w:rsidRDefault="004523B2" w:rsidP="004523B2">
      <w:pPr>
        <w:tabs>
          <w:tab w:val="left" w:pos="567"/>
          <w:tab w:val="left" w:pos="1134"/>
          <w:tab w:val="left" w:pos="1701"/>
        </w:tabs>
        <w:spacing w:after="160" w:line="360" w:lineRule="auto"/>
        <w:ind w:left="567" w:hanging="567"/>
        <w:jc w:val="both"/>
        <w:rPr>
          <w:rFonts w:eastAsia="Calibri"/>
          <w:color w:val="000000"/>
          <w:rtl/>
        </w:rPr>
      </w:pPr>
      <w:r>
        <w:rPr>
          <w:rFonts w:eastAsia="Calibri" w:hint="cs"/>
          <w:color w:val="000000"/>
          <w:rtl/>
        </w:rPr>
        <w:lastRenderedPageBreak/>
        <w:t>16.</w:t>
      </w:r>
      <w:r>
        <w:rPr>
          <w:rFonts w:eastAsia="Calibri" w:hint="cs"/>
          <w:color w:val="000000"/>
          <w:rtl/>
        </w:rPr>
        <w:tab/>
      </w:r>
      <w:r w:rsidR="00DE0CBF" w:rsidRPr="00DE0CBF">
        <w:rPr>
          <w:rFonts w:eastAsia="Calibri"/>
          <w:color w:val="000000"/>
          <w:rtl/>
        </w:rPr>
        <w:t xml:space="preserve">הגם שהנאשם זוכה מן העבירה החמורה המרכזית אשר יוחסה לו בכתב האישום, עבירת האינוס, הרי שאין לכחד בדבר חומרתה של העבירה הנוספת, הפרת צו הפיקוח, אשר יוחסה לו ואשר בה הורשע, על פי הודאתו. </w:t>
      </w:r>
    </w:p>
    <w:p w:rsidR="004523B2" w:rsidRDefault="004523B2" w:rsidP="004523B2">
      <w:pPr>
        <w:tabs>
          <w:tab w:val="left" w:pos="567"/>
          <w:tab w:val="left" w:pos="1134"/>
          <w:tab w:val="left" w:pos="1701"/>
        </w:tabs>
        <w:spacing w:after="160" w:line="360" w:lineRule="auto"/>
        <w:ind w:left="567" w:hanging="567"/>
        <w:jc w:val="both"/>
        <w:rPr>
          <w:rFonts w:eastAsia="Calibri"/>
          <w:color w:val="000000"/>
          <w:rtl/>
        </w:rPr>
      </w:pPr>
      <w:r>
        <w:rPr>
          <w:rFonts w:eastAsia="Calibri"/>
          <w:color w:val="000000"/>
          <w:rtl/>
        </w:rPr>
        <w:tab/>
      </w:r>
      <w:r>
        <w:rPr>
          <w:rFonts w:eastAsia="Calibri" w:hint="cs"/>
          <w:color w:val="000000"/>
          <w:rtl/>
        </w:rPr>
        <w:t>צ</w:t>
      </w:r>
      <w:r w:rsidR="00DE0CBF" w:rsidRPr="00DE0CBF">
        <w:rPr>
          <w:rFonts w:eastAsia="Calibri"/>
          <w:color w:val="000000"/>
          <w:rtl/>
        </w:rPr>
        <w:t>ו הפיקוח אשר ניתן בעניינו של הנאשם, עבריין מין, נועד להרחיקו מקרבנות פוטנציאלים. הצו אכן מצר את צעדיו של הנאשם ומגביל אותו בעבודה, אולם הדבר נעשה לצורך מניעה ועל מנת להגן על הציבור, זאת כאשר המותב אשר הורה על הצו, נטל בחשבון גם את זכויותיו של הנאשם אשר סיים לרצות את עונשו באותה עת. עם זאת, צו פיקוח, מגביל והדוק ככל שיהיה, אינו יעיל, אם לא יקויים, ככתבו וכלשונו. אין המדובר באמצעי מעקב המאפשר פיקוח צמוד, אלא בצו כתוב, אשר כוחו טמון אך ורק באכיפה נוקשה שלו בפני העבריין. קיימת, אם כך, חשיבות מכרעת באכיפה דווקנית של צווי פיקוח על עברייני מין מורשעים, על מנת להרתיעם מהפרת הצו.</w:t>
      </w:r>
    </w:p>
    <w:p w:rsidR="00640DF6" w:rsidRDefault="004523B2" w:rsidP="00640DF6">
      <w:pPr>
        <w:tabs>
          <w:tab w:val="left" w:pos="567"/>
          <w:tab w:val="left" w:pos="1134"/>
          <w:tab w:val="left" w:pos="1701"/>
        </w:tabs>
        <w:spacing w:after="160" w:line="360" w:lineRule="auto"/>
        <w:ind w:left="567" w:hanging="567"/>
        <w:jc w:val="both"/>
        <w:rPr>
          <w:rFonts w:eastAsia="Calibri"/>
          <w:rtl/>
        </w:rPr>
      </w:pPr>
      <w:r>
        <w:rPr>
          <w:rFonts w:eastAsia="Calibri" w:hint="cs"/>
          <w:color w:val="000000"/>
          <w:rtl/>
        </w:rPr>
        <w:t>17.</w:t>
      </w:r>
      <w:r>
        <w:rPr>
          <w:rFonts w:eastAsia="Calibri" w:hint="cs"/>
          <w:color w:val="000000"/>
          <w:rtl/>
        </w:rPr>
        <w:tab/>
      </w:r>
      <w:r w:rsidR="00DE0CBF" w:rsidRPr="00DE0CBF">
        <w:rPr>
          <w:rFonts w:eastAsia="Calibri"/>
          <w:color w:val="000000"/>
          <w:rtl/>
        </w:rPr>
        <w:t xml:space="preserve">לחובת הנאשם לקחנו בחשבון כאמור את חומרת ההפרה, גם אם המדובר בהפרה יחידה בגינה הועמד הנאשם לדין ומנגד, לטובתו, את הודאת הנאשם, אם כי כאמור, לא התרשמנו מחרטה עמוקה מצידו ואת פרק הזמן שהוא מוחזק במעצר מאחורי סורג ובריח. על אלו נוסיף את הצורך בהרתעת הנאשם עצמו מפני הפרה נוספת של צו הפיקוח אשר ניתן כנגדו לאחרונה, כאשר מדבריו האחרונים וגם מן העובדה שביצע את העבירה בהיותו נתון בטיפול עולה כי נדרשת ענישה מרתיעה, ואת החשיבות שבהעברת המסר לעברייני מין מורשעים כי הפרת צו פיקוח תוביל לענישה מוחשית. </w:t>
      </w:r>
    </w:p>
    <w:p w:rsidR="00640DF6" w:rsidRPr="00F87716" w:rsidRDefault="00640DF6" w:rsidP="00640DF6">
      <w:pPr>
        <w:tabs>
          <w:tab w:val="left" w:pos="567"/>
          <w:tab w:val="left" w:pos="1134"/>
          <w:tab w:val="left" w:pos="1701"/>
        </w:tabs>
        <w:spacing w:after="160" w:line="360" w:lineRule="auto"/>
        <w:ind w:left="567" w:hanging="567"/>
        <w:jc w:val="both"/>
        <w:rPr>
          <w:rFonts w:eastAsia="Calibri"/>
          <w:b/>
          <w:bCs/>
          <w:rtl/>
        </w:rPr>
      </w:pPr>
      <w:r>
        <w:rPr>
          <w:rFonts w:eastAsia="Calibri"/>
          <w:rtl/>
        </w:rPr>
        <w:tab/>
      </w:r>
      <w:r w:rsidR="00DE0CBF" w:rsidRPr="00F87716">
        <w:rPr>
          <w:rFonts w:eastAsia="Calibri"/>
          <w:b/>
          <w:bCs/>
          <w:rtl/>
        </w:rPr>
        <w:t>על כל אלו, החלטנו לגזור על הנאשם את העונשים הבאים:</w:t>
      </w:r>
    </w:p>
    <w:p w:rsidR="00640DF6" w:rsidRDefault="00640DF6" w:rsidP="00640DF6">
      <w:pPr>
        <w:tabs>
          <w:tab w:val="left" w:pos="567"/>
          <w:tab w:val="left" w:pos="1134"/>
          <w:tab w:val="left" w:pos="1701"/>
        </w:tabs>
        <w:spacing w:after="160" w:line="360" w:lineRule="auto"/>
        <w:ind w:left="567" w:hanging="567"/>
        <w:jc w:val="both"/>
        <w:rPr>
          <w:rFonts w:eastAsia="Calibri"/>
          <w:rtl/>
        </w:rPr>
      </w:pPr>
      <w:r>
        <w:rPr>
          <w:rFonts w:eastAsia="Calibri"/>
          <w:rtl/>
        </w:rPr>
        <w:tab/>
      </w:r>
      <w:r>
        <w:rPr>
          <w:rFonts w:eastAsia="Calibri" w:hint="cs"/>
          <w:rtl/>
        </w:rPr>
        <w:t>א.</w:t>
      </w:r>
      <w:r>
        <w:rPr>
          <w:rFonts w:eastAsia="Calibri"/>
          <w:rtl/>
        </w:rPr>
        <w:tab/>
      </w:r>
      <w:r w:rsidR="00DE0CBF" w:rsidRPr="00DE0CBF">
        <w:rPr>
          <w:rFonts w:eastAsia="Calibri"/>
          <w:rtl/>
        </w:rPr>
        <w:t>11  חודשי מאסר בפועל בניכוי ימי מעצרו מיום 25.7.22.</w:t>
      </w:r>
    </w:p>
    <w:p w:rsidR="00640DF6" w:rsidRDefault="00640DF6" w:rsidP="00640DF6">
      <w:pPr>
        <w:tabs>
          <w:tab w:val="left" w:pos="567"/>
          <w:tab w:val="left" w:pos="1134"/>
          <w:tab w:val="left" w:pos="1701"/>
        </w:tabs>
        <w:spacing w:after="160" w:line="360" w:lineRule="auto"/>
        <w:ind w:left="567" w:hanging="567"/>
        <w:jc w:val="both"/>
        <w:rPr>
          <w:rFonts w:eastAsia="Calibri"/>
          <w:rtl/>
        </w:rPr>
      </w:pPr>
      <w:r>
        <w:rPr>
          <w:rFonts w:eastAsia="Calibri"/>
          <w:rtl/>
        </w:rPr>
        <w:tab/>
      </w:r>
      <w:r>
        <w:rPr>
          <w:rFonts w:eastAsia="Calibri" w:hint="cs"/>
          <w:rtl/>
        </w:rPr>
        <w:t>ב.</w:t>
      </w:r>
      <w:r>
        <w:rPr>
          <w:rFonts w:eastAsia="Calibri"/>
          <w:rtl/>
        </w:rPr>
        <w:tab/>
      </w:r>
      <w:r w:rsidR="00DE0CBF" w:rsidRPr="00DE0CBF">
        <w:rPr>
          <w:rFonts w:eastAsia="Calibri"/>
          <w:rtl/>
        </w:rPr>
        <w:t xml:space="preserve">6 חודשי מאסר על תנאי למשך 3 שנים מיום שחרורו של הנאשם ממאסרו והתנאי הוא </w:t>
      </w:r>
      <w:r>
        <w:rPr>
          <w:rFonts w:eastAsia="Calibri"/>
          <w:rtl/>
        </w:rPr>
        <w:tab/>
      </w:r>
      <w:r w:rsidR="00DE0CBF" w:rsidRPr="00DE0CBF">
        <w:rPr>
          <w:rFonts w:eastAsia="Calibri"/>
          <w:rtl/>
        </w:rPr>
        <w:t>כי לא יעבור על העבירה בה הורשע, או כל עבירה לפי סימן ט' לפרק ה' לחוק העונשין.</w:t>
      </w:r>
    </w:p>
    <w:p w:rsidR="00F87716" w:rsidRDefault="00640DF6" w:rsidP="00F87716">
      <w:pPr>
        <w:tabs>
          <w:tab w:val="left" w:pos="567"/>
          <w:tab w:val="left" w:pos="1134"/>
          <w:tab w:val="left" w:pos="1701"/>
        </w:tabs>
        <w:spacing w:after="160" w:line="360" w:lineRule="auto"/>
        <w:ind w:left="1134" w:hanging="1134"/>
        <w:jc w:val="both"/>
        <w:rPr>
          <w:rFonts w:eastAsia="Calibri"/>
          <w:rtl/>
        </w:rPr>
      </w:pPr>
      <w:r>
        <w:rPr>
          <w:rFonts w:eastAsia="Calibri"/>
          <w:rtl/>
        </w:rPr>
        <w:tab/>
      </w:r>
      <w:r>
        <w:rPr>
          <w:rFonts w:eastAsia="Calibri" w:hint="cs"/>
          <w:rtl/>
        </w:rPr>
        <w:t>ג.</w:t>
      </w:r>
      <w:r>
        <w:rPr>
          <w:rFonts w:eastAsia="Calibri" w:hint="cs"/>
          <w:rtl/>
        </w:rPr>
        <w:tab/>
      </w:r>
      <w:r w:rsidR="00DE0CBF" w:rsidRPr="00DE0CBF">
        <w:rPr>
          <w:rFonts w:eastAsia="Calibri"/>
          <w:rtl/>
        </w:rPr>
        <w:t xml:space="preserve">קנס בסך 3,000 ₪ או 30 ימי מאסר תמורתו. הקנס ישולם ב- 10 תשלומים חודשיים, שווים ורצופים, כאשר התשלום הראשון ישולם </w:t>
      </w:r>
      <w:r w:rsidR="00F87716">
        <w:rPr>
          <w:rFonts w:eastAsia="Calibri" w:hint="cs"/>
          <w:rtl/>
        </w:rPr>
        <w:t xml:space="preserve">עד ולא יאוחר מיום 5.8.23  ובכל 30 יום לאחריו. </w:t>
      </w:r>
    </w:p>
    <w:p w:rsidR="00F87716" w:rsidRDefault="00F87716" w:rsidP="00F87716">
      <w:pPr>
        <w:tabs>
          <w:tab w:val="left" w:pos="567"/>
          <w:tab w:val="left" w:pos="1134"/>
          <w:tab w:val="left" w:pos="1701"/>
        </w:tabs>
        <w:spacing w:after="160" w:line="360" w:lineRule="auto"/>
        <w:ind w:left="1134" w:hanging="1134"/>
        <w:jc w:val="both"/>
        <w:rPr>
          <w:rFonts w:eastAsia="Calibri"/>
          <w:rtl/>
        </w:rPr>
      </w:pPr>
    </w:p>
    <w:p w:rsidR="00F87716" w:rsidRDefault="00F87716" w:rsidP="00F87716">
      <w:pPr>
        <w:tabs>
          <w:tab w:val="left" w:pos="567"/>
          <w:tab w:val="left" w:pos="1134"/>
          <w:tab w:val="left" w:pos="1701"/>
        </w:tabs>
        <w:spacing w:after="160" w:line="360" w:lineRule="auto"/>
        <w:ind w:left="1134" w:hanging="1134"/>
        <w:jc w:val="both"/>
        <w:rPr>
          <w:rFonts w:eastAsia="Calibri"/>
          <w:rtl/>
        </w:rPr>
      </w:pPr>
    </w:p>
    <w:p w:rsidR="00F87716" w:rsidRDefault="00F87716" w:rsidP="00F87716">
      <w:pPr>
        <w:tabs>
          <w:tab w:val="left" w:pos="567"/>
          <w:tab w:val="left" w:pos="1134"/>
          <w:tab w:val="left" w:pos="1701"/>
        </w:tabs>
        <w:spacing w:after="160" w:line="360" w:lineRule="auto"/>
        <w:ind w:left="1134" w:hanging="1134"/>
        <w:jc w:val="both"/>
        <w:rPr>
          <w:rFonts w:eastAsia="Calibri"/>
          <w:rtl/>
        </w:rPr>
      </w:pPr>
    </w:p>
    <w:p w:rsidR="00F87716" w:rsidRDefault="00F87716" w:rsidP="00F87716">
      <w:pPr>
        <w:tabs>
          <w:tab w:val="left" w:pos="567"/>
          <w:tab w:val="left" w:pos="1134"/>
          <w:tab w:val="left" w:pos="1701"/>
        </w:tabs>
        <w:spacing w:after="160" w:line="360" w:lineRule="auto"/>
        <w:ind w:left="1134" w:hanging="1134"/>
        <w:jc w:val="both"/>
        <w:rPr>
          <w:rFonts w:eastAsia="Calibri"/>
          <w:rtl/>
        </w:rPr>
      </w:pPr>
    </w:p>
    <w:p w:rsidR="00F87716" w:rsidRDefault="00F87716" w:rsidP="00F87716">
      <w:pPr>
        <w:tabs>
          <w:tab w:val="left" w:pos="567"/>
          <w:tab w:val="left" w:pos="1134"/>
          <w:tab w:val="left" w:pos="1701"/>
        </w:tabs>
        <w:spacing w:after="160" w:line="360" w:lineRule="auto"/>
        <w:ind w:left="1134" w:hanging="1134"/>
        <w:jc w:val="both"/>
        <w:rPr>
          <w:rFonts w:eastAsia="Calibri"/>
          <w:rtl/>
        </w:rPr>
      </w:pPr>
    </w:p>
    <w:p w:rsidR="00DE0CBF" w:rsidRPr="00DE0CBF" w:rsidRDefault="00F87716" w:rsidP="00F87716">
      <w:pPr>
        <w:tabs>
          <w:tab w:val="left" w:pos="567"/>
          <w:tab w:val="left" w:pos="1134"/>
          <w:tab w:val="left" w:pos="1701"/>
        </w:tabs>
        <w:spacing w:after="160" w:line="360" w:lineRule="auto"/>
        <w:ind w:left="1134" w:hanging="1134"/>
        <w:jc w:val="both"/>
        <w:rPr>
          <w:rFonts w:eastAsia="Calibri"/>
        </w:rPr>
      </w:pPr>
      <w:r>
        <w:rPr>
          <w:rFonts w:eastAsia="Calibri"/>
          <w:rtl/>
        </w:rPr>
        <w:tab/>
      </w:r>
      <w:r>
        <w:rPr>
          <w:rFonts w:eastAsia="Calibri"/>
          <w:rtl/>
        </w:rPr>
        <w:tab/>
      </w:r>
      <w:r w:rsidR="00DE0CBF" w:rsidRPr="00DE0CBF">
        <w:rPr>
          <w:rFonts w:eastAsia="Calibri"/>
          <w:rtl/>
        </w:rPr>
        <w:t>אי עמידה באחד התשלומים במועד, תעמיד את יתרת הקנס לפרעון מיידי ותגרור תוספת פיגורים כדין.</w:t>
      </w:r>
    </w:p>
    <w:p w:rsidR="002B3EF2" w:rsidRDefault="00F87716">
      <w:pPr>
        <w:spacing w:line="360" w:lineRule="auto"/>
        <w:jc w:val="both"/>
        <w:rPr>
          <w:rFonts w:ascii="Arial" w:hAnsi="Arial"/>
          <w:b/>
          <w:bCs/>
          <w:u w:val="single"/>
          <w:rtl/>
        </w:rPr>
      </w:pPr>
      <w:r>
        <w:rPr>
          <w:rFonts w:ascii="Arial" w:hAnsi="Arial" w:hint="cs"/>
          <w:b/>
          <w:bCs/>
          <w:u w:val="single"/>
          <w:rtl/>
        </w:rPr>
        <w:t xml:space="preserve">זכות </w:t>
      </w:r>
      <w:r w:rsidR="002B3EF2" w:rsidRPr="002B3EF2">
        <w:rPr>
          <w:rFonts w:ascii="Arial" w:hAnsi="Arial" w:hint="cs"/>
          <w:b/>
          <w:bCs/>
          <w:u w:val="single"/>
          <w:rtl/>
        </w:rPr>
        <w:t xml:space="preserve">ערעור לבית </w:t>
      </w:r>
      <w:r w:rsidR="00F549FC">
        <w:rPr>
          <w:rFonts w:ascii="Arial" w:hAnsi="Arial" w:hint="cs"/>
          <w:b/>
          <w:bCs/>
          <w:u w:val="single"/>
          <w:rtl/>
        </w:rPr>
        <w:t>ה</w:t>
      </w:r>
      <w:r w:rsidR="002B3EF2" w:rsidRPr="002B3EF2">
        <w:rPr>
          <w:rFonts w:ascii="Arial" w:hAnsi="Arial" w:hint="cs"/>
          <w:b/>
          <w:bCs/>
          <w:u w:val="single"/>
          <w:rtl/>
        </w:rPr>
        <w:t>משפט העליון תוך  45 יום מהיום.</w:t>
      </w:r>
    </w:p>
    <w:p w:rsidR="00F549FC" w:rsidRPr="002B3EF2" w:rsidRDefault="00F549FC">
      <w:pPr>
        <w:spacing w:line="360" w:lineRule="auto"/>
        <w:jc w:val="both"/>
        <w:rPr>
          <w:rFonts w:ascii="Arial" w:hAnsi="Arial"/>
          <w:b/>
          <w:bCs/>
          <w:u w:val="single"/>
          <w:rtl/>
        </w:rPr>
      </w:pPr>
    </w:p>
    <w:p w:rsidR="002B3EF2" w:rsidRDefault="002B3EF2">
      <w:pPr>
        <w:spacing w:line="360" w:lineRule="auto"/>
        <w:jc w:val="both"/>
        <w:rPr>
          <w:rFonts w:ascii="Arial" w:hAnsi="Arial"/>
          <w:sz w:val="6"/>
          <w:szCs w:val="6"/>
        </w:rPr>
      </w:pPr>
      <w:r>
        <w:rPr>
          <w:rFonts w:ascii="Arial" w:hAnsi="Arial"/>
          <w:sz w:val="6"/>
          <w:szCs w:val="6"/>
          <w:rtl/>
        </w:rPr>
        <w:t>&lt;#4#&gt;</w:t>
      </w:r>
    </w:p>
    <w:p w:rsidR="002B3EF2" w:rsidRPr="004C6756" w:rsidRDefault="002B3EF2">
      <w:pPr>
        <w:spacing w:line="360" w:lineRule="auto"/>
        <w:rPr>
          <w:b/>
          <w:bCs/>
          <w:rtl/>
        </w:rPr>
      </w:pPr>
      <w:r w:rsidRPr="004C6756">
        <w:rPr>
          <w:rFonts w:hint="cs"/>
          <w:b/>
          <w:bCs/>
          <w:rtl/>
        </w:rPr>
        <w:t xml:space="preserve">ניתן והודע היום </w:t>
      </w:r>
      <w:sdt>
        <w:sdtPr>
          <w:rPr>
            <w:rtl/>
          </w:rPr>
          <w:alias w:val="2207"/>
          <w:tag w:val="2207"/>
          <w:id w:val="-1602030440"/>
        </w:sdtPr>
        <w:sdtEndPr/>
        <w:sdtContent>
          <w:r>
            <w:rPr>
              <w:b/>
              <w:bCs/>
              <w:rtl/>
            </w:rPr>
            <w:t>י"ד תמוז תשפ"ג</w:t>
          </w:r>
        </w:sdtContent>
      </w:sdt>
      <w:r w:rsidRPr="004C6756">
        <w:rPr>
          <w:rFonts w:hint="cs"/>
          <w:b/>
          <w:bCs/>
          <w:rtl/>
        </w:rPr>
        <w:t xml:space="preserve">, </w:t>
      </w:r>
      <w:sdt>
        <w:sdtPr>
          <w:rPr>
            <w:rtl/>
          </w:rPr>
          <w:alias w:val="2206"/>
          <w:tag w:val="2206"/>
          <w:id w:val="-881791114"/>
        </w:sdtPr>
        <w:sdtEndPr/>
        <w:sdtContent>
          <w:r>
            <w:rPr>
              <w:b/>
              <w:bCs/>
            </w:rPr>
            <w:t>03/07/2023</w:t>
          </w:r>
        </w:sdtContent>
      </w:sdt>
      <w:r w:rsidRPr="004C6756">
        <w:rPr>
          <w:rFonts w:hint="cs"/>
          <w:b/>
          <w:bCs/>
          <w:rtl/>
        </w:rPr>
        <w:t xml:space="preserve"> במעמד הנוכחים. </w:t>
      </w:r>
    </w:p>
    <w:tbl>
      <w:tblPr>
        <w:tblStyle w:val="a7"/>
        <w:bidiVisual/>
        <w:tblW w:w="86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49"/>
        <w:gridCol w:w="338"/>
        <w:gridCol w:w="2786"/>
        <w:gridCol w:w="273"/>
        <w:gridCol w:w="2552"/>
      </w:tblGrid>
      <w:tr w:rsidR="002B3EF2" w:rsidRPr="003F0B4F" w:rsidTr="00590E33">
        <w:trPr>
          <w:trHeight w:val="1757"/>
        </w:trPr>
        <w:tc>
          <w:tcPr>
            <w:tcW w:w="2749" w:type="dxa"/>
            <w:tcBorders>
              <w:top w:val="nil"/>
              <w:left w:val="nil"/>
              <w:bottom w:val="single" w:sz="4" w:space="0" w:color="auto"/>
              <w:right w:val="nil"/>
            </w:tcBorders>
            <w:vAlign w:val="bottom"/>
            <w:hideMark/>
          </w:tcPr>
          <w:p w:rsidR="002B3EF2" w:rsidRPr="003F0B4F" w:rsidRDefault="002B3EF2" w:rsidP="003F0B4F">
            <w:pPr>
              <w:jc w:val="center"/>
              <w:rPr>
                <w:rFonts w:ascii="Courier New" w:hAnsi="Courier New" w:cs="David"/>
                <w:b/>
                <w:bCs/>
                <w:lang w:eastAsia="he-IL"/>
              </w:rPr>
            </w:pPr>
            <w:r w:rsidRPr="003F0B4F">
              <w:rPr>
                <w:rFonts w:ascii="Courier New" w:hAnsi="Courier New"/>
                <w:b/>
                <w:bCs/>
                <w:noProof/>
              </w:rPr>
              <w:drawing>
                <wp:inline distT="0" distB="0" distL="0" distR="0" wp14:anchorId="625E3D86" wp14:editId="546B2D3F">
                  <wp:extent cx="1285875" cy="876300"/>
                  <wp:effectExtent l="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85875" cy="876300"/>
                          </a:xfrm>
                          <a:prstGeom prst="rect">
                            <a:avLst/>
                          </a:prstGeom>
                          <a:noFill/>
                          <a:ln>
                            <a:noFill/>
                          </a:ln>
                        </pic:spPr>
                      </pic:pic>
                    </a:graphicData>
                  </a:graphic>
                </wp:inline>
              </w:drawing>
            </w:r>
          </w:p>
        </w:tc>
        <w:tc>
          <w:tcPr>
            <w:tcW w:w="338" w:type="dxa"/>
            <w:vAlign w:val="bottom"/>
          </w:tcPr>
          <w:p w:rsidR="002B3EF2" w:rsidRPr="003F0B4F" w:rsidRDefault="002B3EF2" w:rsidP="003F0B4F">
            <w:pPr>
              <w:jc w:val="center"/>
              <w:rPr>
                <w:rFonts w:ascii="Courier New" w:hAnsi="Courier New" w:cs="David"/>
                <w:b/>
                <w:bCs/>
                <w:rtl/>
                <w:lang w:eastAsia="he-IL"/>
              </w:rPr>
            </w:pPr>
          </w:p>
        </w:tc>
        <w:tc>
          <w:tcPr>
            <w:tcW w:w="2786" w:type="dxa"/>
            <w:tcBorders>
              <w:top w:val="nil"/>
              <w:left w:val="nil"/>
              <w:bottom w:val="single" w:sz="4" w:space="0" w:color="auto"/>
              <w:right w:val="nil"/>
            </w:tcBorders>
            <w:vAlign w:val="bottom"/>
            <w:hideMark/>
          </w:tcPr>
          <w:p w:rsidR="002B3EF2" w:rsidRPr="003F0B4F" w:rsidRDefault="002B3EF2" w:rsidP="003F0B4F">
            <w:pPr>
              <w:jc w:val="center"/>
              <w:rPr>
                <w:rFonts w:ascii="Courier New" w:hAnsi="Courier New" w:cs="David"/>
                <w:b/>
                <w:bCs/>
                <w:rtl/>
                <w:lang w:eastAsia="he-IL"/>
              </w:rPr>
            </w:pPr>
            <w:r w:rsidRPr="003F0B4F">
              <w:rPr>
                <w:rFonts w:ascii="Courier New" w:hAnsi="Courier New"/>
                <w:b/>
                <w:bCs/>
                <w:noProof/>
              </w:rPr>
              <w:drawing>
                <wp:inline distT="0" distB="0" distL="0" distR="0" wp14:anchorId="01B67401" wp14:editId="4F8CFE4A">
                  <wp:extent cx="285750" cy="942975"/>
                  <wp:effectExtent l="0" t="0" r="0" b="9525"/>
                  <wp:docPr id="5" name="Picture 3" descr="069725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697258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942975"/>
                          </a:xfrm>
                          <a:prstGeom prst="rect">
                            <a:avLst/>
                          </a:prstGeom>
                          <a:noFill/>
                          <a:ln>
                            <a:noFill/>
                          </a:ln>
                        </pic:spPr>
                      </pic:pic>
                    </a:graphicData>
                  </a:graphic>
                </wp:inline>
              </w:drawing>
            </w:r>
          </w:p>
        </w:tc>
        <w:tc>
          <w:tcPr>
            <w:tcW w:w="273" w:type="dxa"/>
            <w:vAlign w:val="bottom"/>
          </w:tcPr>
          <w:p w:rsidR="002B3EF2" w:rsidRPr="003F0B4F" w:rsidRDefault="002B3EF2" w:rsidP="003F0B4F">
            <w:pPr>
              <w:jc w:val="center"/>
              <w:rPr>
                <w:rFonts w:ascii="Courier New" w:hAnsi="Courier New" w:cs="David"/>
                <w:b/>
                <w:bCs/>
                <w:lang w:eastAsia="he-IL"/>
              </w:rPr>
            </w:pPr>
          </w:p>
        </w:tc>
        <w:tc>
          <w:tcPr>
            <w:tcW w:w="2552" w:type="dxa"/>
            <w:tcBorders>
              <w:top w:val="nil"/>
              <w:left w:val="nil"/>
              <w:bottom w:val="single" w:sz="4" w:space="0" w:color="auto"/>
              <w:right w:val="nil"/>
            </w:tcBorders>
            <w:vAlign w:val="bottom"/>
            <w:hideMark/>
          </w:tcPr>
          <w:p w:rsidR="002B3EF2" w:rsidRPr="003F0B4F" w:rsidRDefault="002B3EF2" w:rsidP="003F0B4F">
            <w:pPr>
              <w:jc w:val="center"/>
              <w:rPr>
                <w:rFonts w:ascii="Courier New" w:hAnsi="Courier New" w:cs="David"/>
                <w:b/>
                <w:bCs/>
                <w:lang w:eastAsia="he-IL"/>
              </w:rPr>
            </w:pPr>
            <w:r>
              <w:rPr>
                <w:noProof/>
              </w:rPr>
              <w:drawing>
                <wp:inline distT="0" distB="0" distL="0" distR="0" wp14:anchorId="012CD49E" wp14:editId="0F86A99A">
                  <wp:extent cx="1266825" cy="78105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0" cstate="print">
                            <a:extLst/>
                          </a:blip>
                          <a:stretch>
                            <a:fillRect/>
                          </a:stretch>
                        </pic:blipFill>
                        <pic:spPr>
                          <a:xfrm>
                            <a:off x="0" y="0"/>
                            <a:ext cx="1266825" cy="781050"/>
                          </a:xfrm>
                          <a:prstGeom prst="rect">
                            <a:avLst/>
                          </a:prstGeom>
                        </pic:spPr>
                      </pic:pic>
                    </a:graphicData>
                  </a:graphic>
                </wp:inline>
              </w:drawing>
            </w:r>
          </w:p>
        </w:tc>
      </w:tr>
      <w:tr w:rsidR="002B3EF2" w:rsidRPr="003F0B4F" w:rsidTr="00590E33">
        <w:trPr>
          <w:trHeight w:val="137"/>
        </w:trPr>
        <w:tc>
          <w:tcPr>
            <w:tcW w:w="2749" w:type="dxa"/>
            <w:tcBorders>
              <w:top w:val="single" w:sz="4" w:space="0" w:color="auto"/>
              <w:left w:val="nil"/>
              <w:bottom w:val="nil"/>
              <w:right w:val="nil"/>
            </w:tcBorders>
            <w:vAlign w:val="bottom"/>
            <w:hideMark/>
          </w:tcPr>
          <w:p w:rsidR="002B3EF2" w:rsidRDefault="002B3EF2" w:rsidP="006519BF">
            <w:pPr>
              <w:spacing w:line="360" w:lineRule="auto"/>
              <w:jc w:val="left"/>
              <w:rPr>
                <w:rFonts w:cs="David"/>
                <w:b/>
                <w:bCs/>
                <w:noProof/>
                <w:rtl/>
              </w:rPr>
            </w:pPr>
            <w:r>
              <w:rPr>
                <w:rFonts w:ascii="Courier New" w:hAnsi="Courier New" w:cs="David" w:hint="cs"/>
                <w:b/>
                <w:bCs/>
                <w:rtl/>
                <w:lang w:eastAsia="he-IL"/>
              </w:rPr>
              <w:t xml:space="preserve">        </w:t>
            </w:r>
            <w:r>
              <w:rPr>
                <w:rFonts w:cs="David" w:hint="cs"/>
                <w:b/>
                <w:bCs/>
                <w:noProof/>
                <w:rtl/>
              </w:rPr>
              <w:t>אשר קולה , שופט</w:t>
            </w:r>
          </w:p>
          <w:p w:rsidR="002B3EF2" w:rsidRDefault="002B3EF2" w:rsidP="006519BF">
            <w:pPr>
              <w:spacing w:line="360" w:lineRule="auto"/>
              <w:jc w:val="left"/>
              <w:rPr>
                <w:rFonts w:cs="David"/>
                <w:b/>
                <w:bCs/>
                <w:noProof/>
                <w:rtl/>
              </w:rPr>
            </w:pPr>
            <w:r>
              <w:rPr>
                <w:rFonts w:cs="David" w:hint="cs"/>
                <w:b/>
                <w:bCs/>
                <w:noProof/>
                <w:rtl/>
              </w:rPr>
              <w:t xml:space="preserve">             סגן הנשיאה</w:t>
            </w:r>
          </w:p>
          <w:p w:rsidR="002B3EF2" w:rsidRPr="003F0B4F" w:rsidRDefault="002B3EF2" w:rsidP="006519BF">
            <w:pPr>
              <w:spacing w:line="360" w:lineRule="auto"/>
              <w:jc w:val="left"/>
              <w:rPr>
                <w:rFonts w:cs="David"/>
                <w:b/>
                <w:bCs/>
                <w:noProof/>
                <w:rtl/>
              </w:rPr>
            </w:pPr>
          </w:p>
        </w:tc>
        <w:tc>
          <w:tcPr>
            <w:tcW w:w="338" w:type="dxa"/>
            <w:vAlign w:val="bottom"/>
          </w:tcPr>
          <w:p w:rsidR="002B3EF2" w:rsidRPr="003F0B4F" w:rsidRDefault="002B3EF2" w:rsidP="003F0B4F">
            <w:pPr>
              <w:jc w:val="center"/>
              <w:rPr>
                <w:rFonts w:ascii="Courier New" w:hAnsi="Courier New" w:cs="David"/>
                <w:b/>
                <w:bCs/>
                <w:rtl/>
                <w:lang w:eastAsia="he-IL"/>
              </w:rPr>
            </w:pPr>
          </w:p>
        </w:tc>
        <w:tc>
          <w:tcPr>
            <w:tcW w:w="2786" w:type="dxa"/>
            <w:tcBorders>
              <w:top w:val="single" w:sz="4" w:space="0" w:color="auto"/>
              <w:left w:val="nil"/>
              <w:bottom w:val="nil"/>
              <w:right w:val="nil"/>
            </w:tcBorders>
            <w:hideMark/>
          </w:tcPr>
          <w:p w:rsidR="002B3EF2" w:rsidRPr="003F0B4F" w:rsidRDefault="002B3EF2" w:rsidP="003F0B4F">
            <w:pPr>
              <w:jc w:val="center"/>
              <w:rPr>
                <w:rFonts w:ascii="Courier New" w:hAnsi="Courier New" w:cs="David"/>
                <w:b/>
                <w:bCs/>
                <w:lang w:eastAsia="he-IL"/>
              </w:rPr>
            </w:pPr>
            <w:r>
              <w:rPr>
                <w:rFonts w:ascii="Courier New" w:hAnsi="Courier New" w:cs="David" w:hint="cs"/>
                <w:b/>
                <w:bCs/>
                <w:rtl/>
                <w:lang w:eastAsia="he-IL"/>
              </w:rPr>
              <w:t xml:space="preserve">דני צרפתי </w:t>
            </w:r>
            <w:r w:rsidRPr="003F0B4F">
              <w:rPr>
                <w:rFonts w:ascii="Courier New" w:hAnsi="Courier New" w:cs="David" w:hint="cs"/>
                <w:b/>
                <w:bCs/>
                <w:rtl/>
                <w:lang w:eastAsia="he-IL"/>
              </w:rPr>
              <w:t>, שופט</w:t>
            </w:r>
          </w:p>
        </w:tc>
        <w:tc>
          <w:tcPr>
            <w:tcW w:w="273" w:type="dxa"/>
          </w:tcPr>
          <w:p w:rsidR="002B3EF2" w:rsidRPr="003F0B4F" w:rsidRDefault="002B3EF2" w:rsidP="003F0B4F">
            <w:pPr>
              <w:jc w:val="center"/>
              <w:rPr>
                <w:rFonts w:ascii="Courier New" w:hAnsi="Courier New" w:cs="David"/>
                <w:b/>
                <w:bCs/>
                <w:lang w:eastAsia="he-IL"/>
              </w:rPr>
            </w:pPr>
          </w:p>
        </w:tc>
        <w:tc>
          <w:tcPr>
            <w:tcW w:w="2552" w:type="dxa"/>
            <w:tcBorders>
              <w:top w:val="single" w:sz="4" w:space="0" w:color="auto"/>
              <w:left w:val="nil"/>
              <w:bottom w:val="nil"/>
              <w:right w:val="nil"/>
            </w:tcBorders>
            <w:hideMark/>
          </w:tcPr>
          <w:p w:rsidR="002B3EF2" w:rsidRPr="003F0B4F" w:rsidRDefault="002B3EF2" w:rsidP="003F0B4F">
            <w:pPr>
              <w:jc w:val="center"/>
              <w:rPr>
                <w:rFonts w:ascii="Courier New" w:hAnsi="Courier New" w:cs="David"/>
                <w:b/>
                <w:bCs/>
                <w:lang w:eastAsia="he-IL"/>
              </w:rPr>
            </w:pPr>
            <w:r>
              <w:rPr>
                <w:rFonts w:ascii="Courier New" w:hAnsi="Courier New" w:cs="David" w:hint="cs"/>
                <w:b/>
                <w:bCs/>
                <w:rtl/>
                <w:lang w:eastAsia="he-IL"/>
              </w:rPr>
              <w:t>רננה גלפז מוקדי, שופטת</w:t>
            </w:r>
          </w:p>
        </w:tc>
      </w:tr>
    </w:tbl>
    <w:p w:rsidR="00374001" w:rsidRPr="00F549FC" w:rsidRDefault="002B3EF2" w:rsidP="00F87716">
      <w:pPr>
        <w:rPr>
          <w:rtl/>
        </w:rPr>
      </w:pPr>
      <w:r w:rsidRPr="00AF5F37">
        <w:rPr>
          <w:rFonts w:hint="cs"/>
          <w:b/>
          <w:bCs/>
          <w:rtl/>
          <w:lang w:eastAsia="he-IL"/>
        </w:rPr>
        <w:t xml:space="preserve">             </w:t>
      </w:r>
      <w:r>
        <w:rPr>
          <w:rFonts w:hint="cs"/>
          <w:b/>
          <w:bCs/>
          <w:rtl/>
          <w:lang w:eastAsia="he-IL"/>
        </w:rPr>
        <w:t xml:space="preserve">  </w:t>
      </w:r>
      <w:r w:rsidRPr="00AF5F37">
        <w:rPr>
          <w:rFonts w:hint="cs"/>
          <w:b/>
          <w:bCs/>
          <w:rtl/>
          <w:lang w:eastAsia="he-IL"/>
        </w:rPr>
        <w:t xml:space="preserve">  </w:t>
      </w:r>
      <w:r w:rsidR="00374001">
        <w:rPr>
          <w:rtl/>
        </w:rPr>
        <w:t xml:space="preserve"> </w:t>
      </w:r>
      <w:r w:rsidR="00986F0D">
        <w:rPr>
          <w:rtl/>
        </w:rPr>
        <w:t xml:space="preserve"> </w:t>
      </w:r>
      <w:r w:rsidR="00F549FC">
        <w:rPr>
          <w:rtl/>
        </w:rPr>
        <w:t xml:space="preserve"> </w:t>
      </w:r>
    </w:p>
    <w:p w:rsidR="00C30893" w:rsidRDefault="00A33C73">
      <w:r>
        <w:rPr>
          <w:rtl/>
        </w:rPr>
        <w:t>הוקלד</w:t>
      </w:r>
      <w:r>
        <w:t xml:space="preserve"> </w:t>
      </w:r>
      <w:r>
        <w:rPr>
          <w:rtl/>
        </w:rPr>
        <w:t>על</w:t>
      </w:r>
      <w:r>
        <w:t xml:space="preserve"> </w:t>
      </w:r>
      <w:r>
        <w:rPr>
          <w:rtl/>
        </w:rPr>
        <w:t>ידי</w:t>
      </w:r>
      <w:r>
        <w:t xml:space="preserve"> </w:t>
      </w:r>
      <w:r>
        <w:rPr>
          <w:rtl/>
        </w:rPr>
        <w:t>זיוה</w:t>
      </w:r>
      <w:r>
        <w:t xml:space="preserve"> </w:t>
      </w:r>
      <w:r>
        <w:rPr>
          <w:rtl/>
        </w:rPr>
        <w:t>שימעון</w:t>
      </w:r>
    </w:p>
    <w:sectPr w:rsidR="00C30893" w:rsidSect="00F549FC">
      <w:headerReference w:type="default" r:id="rId21"/>
      <w:footerReference w:type="even" r:id="rId22"/>
      <w:footerReference w:type="default" r:id="rId23"/>
      <w:pgSz w:w="11906" w:h="16838" w:code="9"/>
      <w:pgMar w:top="1440" w:right="1701" w:bottom="1440" w:left="1701" w:header="1077" w:footer="1157" w:gutter="0"/>
      <w:lnNumType w:countBy="1"/>
      <w:pgNumType w:start="276"/>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AA9" w:rsidRDefault="00104AA9" w:rsidP="00374001">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374001">
      <w:rPr>
        <w:rStyle w:val="ac"/>
        <w:noProof/>
        <w:rtl/>
      </w:rPr>
      <w:t>276</w:t>
    </w:r>
    <w:r>
      <w:rPr>
        <w:rStyle w:val="ac"/>
        <w:rtl/>
      </w:rPr>
      <w:fldChar w:fldCharType="end"/>
    </w:r>
  </w:p>
  <w:p w:rsidR="00104AA9" w:rsidRDefault="00104AA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AA9" w:rsidRDefault="00104AA9" w:rsidP="00374001">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E55AF0">
      <w:rPr>
        <w:rStyle w:val="ac"/>
        <w:noProof/>
        <w:rtl/>
      </w:rPr>
      <w:t>276</w:t>
    </w:r>
    <w:r>
      <w:rPr>
        <w:rStyle w:val="ac"/>
        <w:rtl/>
      </w:rPr>
      <w:fldChar w:fldCharType="end"/>
    </w:r>
  </w:p>
  <w:p w:rsidR="00104AA9" w:rsidRDefault="00104AA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7"/>
      <w:gridCol w:w="236"/>
      <w:gridCol w:w="2041"/>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בנצרת</w:t>
              </w:r>
            </w:p>
          </w:tc>
        </w:sdtContent>
      </w:sdt>
    </w:tr>
    <w:tr w:rsidR="00EB1D9D" w:rsidTr="00A04531">
      <w:trPr>
        <w:trHeight w:val="337"/>
        <w:jc w:val="center"/>
      </w:trPr>
      <w:tc>
        <w:tcPr>
          <w:tcW w:w="6396" w:type="dxa"/>
        </w:tcPr>
        <w:p w:rsidR="00EB1D9D" w:rsidRDefault="003C78F5">
          <w:pPr>
            <w:rPr>
              <w:b/>
              <w:bCs/>
              <w:sz w:val="26"/>
              <w:szCs w:val="26"/>
              <w:rtl/>
            </w:rPr>
          </w:pPr>
          <w:sdt>
            <w:sdtPr>
              <w:rPr>
                <w:rtl/>
              </w:rPr>
              <w:alias w:val="849"/>
              <w:tag w:val="849"/>
              <w:id w:val="-1617746001"/>
              <w:text w:multiLine="1"/>
            </w:sdtPr>
            <w:sdtEndPr/>
            <w:sdtContent>
              <w:r w:rsidR="0089339C">
                <w:rPr>
                  <w:b/>
                  <w:bCs/>
                  <w:sz w:val="26"/>
                  <w:szCs w:val="26"/>
                  <w:rtl/>
                </w:rPr>
                <w:t>תפ"ח</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18797-08-22</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הייב(עציר)</w:t>
              </w:r>
            </w:sdtContent>
          </w:sdt>
        </w:p>
        <w:p w:rsidR="0075397E" w:rsidRDefault="0075397E">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03 יולי 2023</w:t>
              </w:r>
            </w:p>
          </w:tc>
        </w:sdtContent>
      </w:sdt>
    </w:tr>
  </w:tbl>
  <w:p w:rsidR="00EB1D9D" w:rsidRDefault="00EB1D9D">
    <w:pPr>
      <w:pStyle w:val="a5"/>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5E0FA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32368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2C1AB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8B89D5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146C5E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FAB7B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90FC0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AC771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8636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03E5AD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AB2F96"/>
    <w:multiLevelType w:val="hybridMultilevel"/>
    <w:tmpl w:val="8C9010B6"/>
    <w:lvl w:ilvl="0" w:tplc="81FE4B6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1795366"/>
    <w:multiLevelType w:val="hybridMultilevel"/>
    <w:tmpl w:val="AC84EE00"/>
    <w:lvl w:ilvl="0" w:tplc="275C6B3C">
      <w:start w:val="1"/>
      <w:numFmt w:val="decimal"/>
      <w:lvlText w:val="%1."/>
      <w:lvlJc w:val="left"/>
      <w:pPr>
        <w:ind w:left="770" w:hanging="360"/>
      </w:pPr>
      <w:rPr>
        <w:i w:val="0"/>
        <w:iCs w:val="0"/>
      </w:rPr>
    </w:lvl>
    <w:lvl w:ilvl="1" w:tplc="04090019">
      <w:start w:val="1"/>
      <w:numFmt w:val="lowerLetter"/>
      <w:lvlText w:val="%2."/>
      <w:lvlJc w:val="left"/>
      <w:pPr>
        <w:ind w:left="1490" w:hanging="360"/>
      </w:pPr>
    </w:lvl>
    <w:lvl w:ilvl="2" w:tplc="0409001B">
      <w:start w:val="1"/>
      <w:numFmt w:val="lowerRoman"/>
      <w:lvlText w:val="%3."/>
      <w:lvlJc w:val="right"/>
      <w:pPr>
        <w:ind w:left="2210" w:hanging="180"/>
      </w:pPr>
    </w:lvl>
    <w:lvl w:ilvl="3" w:tplc="0409000F">
      <w:start w:val="1"/>
      <w:numFmt w:val="decimal"/>
      <w:lvlText w:val="%4."/>
      <w:lvlJc w:val="left"/>
      <w:pPr>
        <w:ind w:left="2930" w:hanging="360"/>
      </w:pPr>
    </w:lvl>
    <w:lvl w:ilvl="4" w:tplc="04090019">
      <w:start w:val="1"/>
      <w:numFmt w:val="lowerLetter"/>
      <w:lvlText w:val="%5."/>
      <w:lvlJc w:val="left"/>
      <w:pPr>
        <w:ind w:left="3650" w:hanging="360"/>
      </w:pPr>
    </w:lvl>
    <w:lvl w:ilvl="5" w:tplc="0409001B">
      <w:start w:val="1"/>
      <w:numFmt w:val="lowerRoman"/>
      <w:lvlText w:val="%6."/>
      <w:lvlJc w:val="right"/>
      <w:pPr>
        <w:ind w:left="4370" w:hanging="180"/>
      </w:pPr>
    </w:lvl>
    <w:lvl w:ilvl="6" w:tplc="0409000F">
      <w:start w:val="1"/>
      <w:numFmt w:val="decimal"/>
      <w:lvlText w:val="%7."/>
      <w:lvlJc w:val="left"/>
      <w:pPr>
        <w:ind w:left="5090" w:hanging="360"/>
      </w:pPr>
    </w:lvl>
    <w:lvl w:ilvl="7" w:tplc="04090019">
      <w:start w:val="1"/>
      <w:numFmt w:val="lowerLetter"/>
      <w:lvlText w:val="%8."/>
      <w:lvlJc w:val="left"/>
      <w:pPr>
        <w:ind w:left="5810" w:hanging="360"/>
      </w:pPr>
    </w:lvl>
    <w:lvl w:ilvl="8" w:tplc="0409001B">
      <w:start w:val="1"/>
      <w:numFmt w:val="lowerRoman"/>
      <w:lvlText w:val="%9."/>
      <w:lvlJc w:val="right"/>
      <w:pPr>
        <w:ind w:left="6530" w:hanging="180"/>
      </w:pPr>
    </w:lvl>
  </w:abstractNum>
  <w:abstractNum w:abstractNumId="19"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0"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2"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6"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8"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6"/>
  </w:num>
  <w:num w:numId="2">
    <w:abstractNumId w:val="15"/>
  </w:num>
  <w:num w:numId="3">
    <w:abstractNumId w:val="24"/>
  </w:num>
  <w:num w:numId="4">
    <w:abstractNumId w:val="23"/>
  </w:num>
  <w:num w:numId="5">
    <w:abstractNumId w:val="14"/>
  </w:num>
  <w:num w:numId="6">
    <w:abstractNumId w:val="17"/>
  </w:num>
  <w:num w:numId="7">
    <w:abstractNumId w:val="28"/>
  </w:num>
  <w:num w:numId="8">
    <w:abstractNumId w:val="10"/>
  </w:num>
  <w:num w:numId="9">
    <w:abstractNumId w:val="22"/>
  </w:num>
  <w:num w:numId="10">
    <w:abstractNumId w:val="20"/>
  </w:num>
  <w:num w:numId="11">
    <w:abstractNumId w:val="13"/>
  </w:num>
  <w:num w:numId="12">
    <w:abstractNumId w:val="27"/>
  </w:num>
  <w:num w:numId="13">
    <w:abstractNumId w:val="21"/>
  </w:num>
  <w:num w:numId="14">
    <w:abstractNumId w:val="12"/>
  </w:num>
  <w:num w:numId="15">
    <w:abstractNumId w:val="25"/>
  </w:num>
  <w:num w:numId="16">
    <w:abstractNumId w:val="11"/>
  </w:num>
  <w:num w:numId="17">
    <w:abstractNumId w:val="19"/>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18797-08-22"/>
    <w:docVar w:name="caseId" w:val="79508723"/>
    <w:docVar w:name="deriveClass" w:val="NGCS.Protocol.BL.Client.ProtocolBLClientCriminal"/>
    <w:docVar w:name="firstPageNumber" w:val="276"/>
    <w:docVar w:name="NGCS.isReservedAddressPlace" w:val="0"/>
    <w:docVar w:name="NGCS.isReservedVoucherPlace" w:val="0"/>
    <w:docVar w:name="privellegeId" w:val="2"/>
    <w:docVar w:name="protocolId" w:val="13712701"/>
    <w:docVar w:name="releaseSign" w:val="0"/>
    <w:docVar w:name="sittingDateTime" w:val="03/07/2023 11:30     "/>
    <w:docVar w:name="sittingId" w:val="95361335"/>
    <w:docVar w:name="sittingTypeId" w:val="-1"/>
    <w:docVar w:name="WordClientAssemblyName" w:val="NGCS.Protocol.BL.Client"/>
    <w:docVar w:name="WordClientClassName" w:val="NGCS.Templates.UIP.TemplateWordClient"/>
  </w:docVars>
  <w:rsids>
    <w:rsidRoot w:val="00EB1D9D"/>
    <w:rsid w:val="0000736A"/>
    <w:rsid w:val="000133E4"/>
    <w:rsid w:val="00014F26"/>
    <w:rsid w:val="00016C3B"/>
    <w:rsid w:val="00030486"/>
    <w:rsid w:val="000309E2"/>
    <w:rsid w:val="00032A68"/>
    <w:rsid w:val="00053909"/>
    <w:rsid w:val="000555F0"/>
    <w:rsid w:val="000608AB"/>
    <w:rsid w:val="00074BD2"/>
    <w:rsid w:val="000A4C4B"/>
    <w:rsid w:val="000C3D5F"/>
    <w:rsid w:val="000C7499"/>
    <w:rsid w:val="000E37CD"/>
    <w:rsid w:val="00100FD9"/>
    <w:rsid w:val="00104AA9"/>
    <w:rsid w:val="00115104"/>
    <w:rsid w:val="00130DA3"/>
    <w:rsid w:val="00131385"/>
    <w:rsid w:val="00137D59"/>
    <w:rsid w:val="00143F04"/>
    <w:rsid w:val="0014434E"/>
    <w:rsid w:val="001526FC"/>
    <w:rsid w:val="0016231B"/>
    <w:rsid w:val="00163279"/>
    <w:rsid w:val="001666D0"/>
    <w:rsid w:val="001705B8"/>
    <w:rsid w:val="00174C6C"/>
    <w:rsid w:val="00180246"/>
    <w:rsid w:val="001A63A4"/>
    <w:rsid w:val="001E6DFB"/>
    <w:rsid w:val="002063A6"/>
    <w:rsid w:val="00227A15"/>
    <w:rsid w:val="002304A2"/>
    <w:rsid w:val="00237F64"/>
    <w:rsid w:val="00245547"/>
    <w:rsid w:val="002500F4"/>
    <w:rsid w:val="002736EA"/>
    <w:rsid w:val="00296868"/>
    <w:rsid w:val="002A1C94"/>
    <w:rsid w:val="002B3EF2"/>
    <w:rsid w:val="002E24EE"/>
    <w:rsid w:val="002F455E"/>
    <w:rsid w:val="002F5A82"/>
    <w:rsid w:val="00301481"/>
    <w:rsid w:val="00340759"/>
    <w:rsid w:val="0034100C"/>
    <w:rsid w:val="00342D84"/>
    <w:rsid w:val="00347ACF"/>
    <w:rsid w:val="00374001"/>
    <w:rsid w:val="003F6EFC"/>
    <w:rsid w:val="00440118"/>
    <w:rsid w:val="00442655"/>
    <w:rsid w:val="00445270"/>
    <w:rsid w:val="004473FE"/>
    <w:rsid w:val="004523B2"/>
    <w:rsid w:val="004752AF"/>
    <w:rsid w:val="0048362A"/>
    <w:rsid w:val="00486DEE"/>
    <w:rsid w:val="00494C2F"/>
    <w:rsid w:val="0049548B"/>
    <w:rsid w:val="004C0CA7"/>
    <w:rsid w:val="004D4B57"/>
    <w:rsid w:val="004F4B4A"/>
    <w:rsid w:val="00503959"/>
    <w:rsid w:val="00510083"/>
    <w:rsid w:val="00532A9F"/>
    <w:rsid w:val="00551705"/>
    <w:rsid w:val="00560CB1"/>
    <w:rsid w:val="00564AAC"/>
    <w:rsid w:val="00577444"/>
    <w:rsid w:val="0058186B"/>
    <w:rsid w:val="005832BA"/>
    <w:rsid w:val="00594F89"/>
    <w:rsid w:val="005B395D"/>
    <w:rsid w:val="005D09EE"/>
    <w:rsid w:val="005D47FD"/>
    <w:rsid w:val="005D68B0"/>
    <w:rsid w:val="005D6FD9"/>
    <w:rsid w:val="005F231D"/>
    <w:rsid w:val="00600219"/>
    <w:rsid w:val="00601F75"/>
    <w:rsid w:val="006110FD"/>
    <w:rsid w:val="00612093"/>
    <w:rsid w:val="0061652F"/>
    <w:rsid w:val="00620E3F"/>
    <w:rsid w:val="00623CCF"/>
    <w:rsid w:val="00631222"/>
    <w:rsid w:val="00633BA9"/>
    <w:rsid w:val="00635C8E"/>
    <w:rsid w:val="00640DF6"/>
    <w:rsid w:val="006424C7"/>
    <w:rsid w:val="0068226E"/>
    <w:rsid w:val="006830E7"/>
    <w:rsid w:val="006A4D3D"/>
    <w:rsid w:val="006B639D"/>
    <w:rsid w:val="006C2240"/>
    <w:rsid w:val="006D72D1"/>
    <w:rsid w:val="006E3A90"/>
    <w:rsid w:val="006F0E02"/>
    <w:rsid w:val="00700409"/>
    <w:rsid w:val="00701199"/>
    <w:rsid w:val="007378AE"/>
    <w:rsid w:val="007378FE"/>
    <w:rsid w:val="0075397E"/>
    <w:rsid w:val="00770F7C"/>
    <w:rsid w:val="00781736"/>
    <w:rsid w:val="00791EB6"/>
    <w:rsid w:val="0079385F"/>
    <w:rsid w:val="007B6499"/>
    <w:rsid w:val="007C005B"/>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5722E"/>
    <w:rsid w:val="008679B6"/>
    <w:rsid w:val="0087279B"/>
    <w:rsid w:val="0088033E"/>
    <w:rsid w:val="0088228B"/>
    <w:rsid w:val="0089339C"/>
    <w:rsid w:val="008B5819"/>
    <w:rsid w:val="008D15AB"/>
    <w:rsid w:val="008D7896"/>
    <w:rsid w:val="008E7204"/>
    <w:rsid w:val="00927BB3"/>
    <w:rsid w:val="00934BA1"/>
    <w:rsid w:val="0094049A"/>
    <w:rsid w:val="0094092B"/>
    <w:rsid w:val="00943E5D"/>
    <w:rsid w:val="009474AF"/>
    <w:rsid w:val="009521C7"/>
    <w:rsid w:val="00960E66"/>
    <w:rsid w:val="00966439"/>
    <w:rsid w:val="0097713F"/>
    <w:rsid w:val="0098094C"/>
    <w:rsid w:val="009857E4"/>
    <w:rsid w:val="00986F0D"/>
    <w:rsid w:val="009B24E2"/>
    <w:rsid w:val="009C08D6"/>
    <w:rsid w:val="009D7934"/>
    <w:rsid w:val="009E46EC"/>
    <w:rsid w:val="009E6E0A"/>
    <w:rsid w:val="00A04531"/>
    <w:rsid w:val="00A1573A"/>
    <w:rsid w:val="00A25356"/>
    <w:rsid w:val="00A33C73"/>
    <w:rsid w:val="00A64302"/>
    <w:rsid w:val="00A64696"/>
    <w:rsid w:val="00A67D1A"/>
    <w:rsid w:val="00A910BF"/>
    <w:rsid w:val="00A9385E"/>
    <w:rsid w:val="00AA3C0A"/>
    <w:rsid w:val="00AB1CE7"/>
    <w:rsid w:val="00AC7677"/>
    <w:rsid w:val="00AD1366"/>
    <w:rsid w:val="00AD25CF"/>
    <w:rsid w:val="00AF7D0E"/>
    <w:rsid w:val="00B24CA7"/>
    <w:rsid w:val="00B30584"/>
    <w:rsid w:val="00B34B0A"/>
    <w:rsid w:val="00B44123"/>
    <w:rsid w:val="00B6568E"/>
    <w:rsid w:val="00B66459"/>
    <w:rsid w:val="00B82C03"/>
    <w:rsid w:val="00B870E1"/>
    <w:rsid w:val="00B96F12"/>
    <w:rsid w:val="00BA3141"/>
    <w:rsid w:val="00BD13A0"/>
    <w:rsid w:val="00BF00B0"/>
    <w:rsid w:val="00C30893"/>
    <w:rsid w:val="00C4595F"/>
    <w:rsid w:val="00C471D1"/>
    <w:rsid w:val="00C50277"/>
    <w:rsid w:val="00C518EA"/>
    <w:rsid w:val="00C667A1"/>
    <w:rsid w:val="00C713EB"/>
    <w:rsid w:val="00C8613B"/>
    <w:rsid w:val="00CA022A"/>
    <w:rsid w:val="00CA26CF"/>
    <w:rsid w:val="00CA75EB"/>
    <w:rsid w:val="00CB6B34"/>
    <w:rsid w:val="00CE6A2A"/>
    <w:rsid w:val="00D0615F"/>
    <w:rsid w:val="00D23D09"/>
    <w:rsid w:val="00D2736A"/>
    <w:rsid w:val="00D276F4"/>
    <w:rsid w:val="00D57D9B"/>
    <w:rsid w:val="00D86190"/>
    <w:rsid w:val="00DA7A07"/>
    <w:rsid w:val="00DC3CD8"/>
    <w:rsid w:val="00DC4526"/>
    <w:rsid w:val="00DC7E11"/>
    <w:rsid w:val="00DD4926"/>
    <w:rsid w:val="00DE0CBF"/>
    <w:rsid w:val="00DF69AA"/>
    <w:rsid w:val="00E15F20"/>
    <w:rsid w:val="00E37759"/>
    <w:rsid w:val="00E4581A"/>
    <w:rsid w:val="00E55AF0"/>
    <w:rsid w:val="00E620AB"/>
    <w:rsid w:val="00E679BB"/>
    <w:rsid w:val="00E74FCF"/>
    <w:rsid w:val="00E866B5"/>
    <w:rsid w:val="00EA333A"/>
    <w:rsid w:val="00EB1D9D"/>
    <w:rsid w:val="00EB4AF3"/>
    <w:rsid w:val="00EB7F8A"/>
    <w:rsid w:val="00EE410A"/>
    <w:rsid w:val="00F24B4E"/>
    <w:rsid w:val="00F30675"/>
    <w:rsid w:val="00F449AC"/>
    <w:rsid w:val="00F45DE2"/>
    <w:rsid w:val="00F53B32"/>
    <w:rsid w:val="00F549FC"/>
    <w:rsid w:val="00F56690"/>
    <w:rsid w:val="00F56B3A"/>
    <w:rsid w:val="00F579C4"/>
    <w:rsid w:val="00F773E3"/>
    <w:rsid w:val="00F861D3"/>
    <w:rsid w:val="00F87716"/>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2B3EF2"/>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2B3EF2"/>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2B3EF2"/>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2B3EF2"/>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2B3EF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2B3EF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374001"/>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1"/>
    <w:rsid w:val="00374001"/>
    <w:pPr>
      <w:spacing w:line="360" w:lineRule="auto"/>
      <w:jc w:val="both"/>
    </w:pPr>
    <w:rPr>
      <w:rFonts w:ascii="Times New Roman" w:eastAsia="Times New Roman" w:hAnsi="Times New Roman"/>
    </w:rPr>
  </w:style>
  <w:style w:type="character" w:styleId="FollowedHyperlink">
    <w:name w:val="FollowedHyperlink"/>
    <w:basedOn w:val="a2"/>
    <w:semiHidden/>
    <w:unhideWhenUsed/>
    <w:rsid w:val="002B3EF2"/>
    <w:rPr>
      <w:color w:val="800080" w:themeColor="followedHyperlink"/>
      <w:u w:val="single"/>
    </w:rPr>
  </w:style>
  <w:style w:type="character" w:styleId="HTMLCite">
    <w:name w:val="HTML Cite"/>
    <w:basedOn w:val="a2"/>
    <w:semiHidden/>
    <w:unhideWhenUsed/>
    <w:rsid w:val="002B3EF2"/>
    <w:rPr>
      <w:i/>
      <w:iCs/>
    </w:rPr>
  </w:style>
  <w:style w:type="character" w:styleId="HTMLCode">
    <w:name w:val="HTML Code"/>
    <w:basedOn w:val="a2"/>
    <w:semiHidden/>
    <w:unhideWhenUsed/>
    <w:rsid w:val="002B3EF2"/>
    <w:rPr>
      <w:rFonts w:ascii="Consolas" w:hAnsi="Consolas"/>
      <w:sz w:val="20"/>
      <w:szCs w:val="20"/>
    </w:rPr>
  </w:style>
  <w:style w:type="character" w:styleId="HTMLDefinition">
    <w:name w:val="HTML Definition"/>
    <w:basedOn w:val="a2"/>
    <w:semiHidden/>
    <w:unhideWhenUsed/>
    <w:rsid w:val="002B3EF2"/>
    <w:rPr>
      <w:i/>
      <w:iCs/>
    </w:rPr>
  </w:style>
  <w:style w:type="character" w:styleId="HTMLVariable">
    <w:name w:val="HTML Variable"/>
    <w:basedOn w:val="a2"/>
    <w:semiHidden/>
    <w:unhideWhenUsed/>
    <w:rsid w:val="002B3EF2"/>
    <w:rPr>
      <w:i/>
      <w:iCs/>
    </w:rPr>
  </w:style>
  <w:style w:type="paragraph" w:styleId="HTML">
    <w:name w:val="HTML Preformatted"/>
    <w:basedOn w:val="a1"/>
    <w:link w:val="HTML0"/>
    <w:semiHidden/>
    <w:unhideWhenUsed/>
    <w:rsid w:val="002B3EF2"/>
    <w:rPr>
      <w:rFonts w:ascii="Consolas" w:hAnsi="Consolas"/>
      <w:sz w:val="20"/>
      <w:szCs w:val="20"/>
    </w:rPr>
  </w:style>
  <w:style w:type="character" w:customStyle="1" w:styleId="HTML0">
    <w:name w:val="HTML מעוצב מראש תו"/>
    <w:basedOn w:val="a2"/>
    <w:link w:val="HTML"/>
    <w:semiHidden/>
    <w:rsid w:val="002B3EF2"/>
    <w:rPr>
      <w:rFonts w:ascii="Consolas" w:hAnsi="Consolas"/>
    </w:rPr>
  </w:style>
  <w:style w:type="character" w:styleId="Hyperlink">
    <w:name w:val="Hyperlink"/>
    <w:basedOn w:val="a2"/>
    <w:semiHidden/>
    <w:unhideWhenUsed/>
    <w:rsid w:val="002B3EF2"/>
    <w:rPr>
      <w:color w:val="0000FF" w:themeColor="hyperlink"/>
      <w:u w:val="single"/>
    </w:rPr>
  </w:style>
  <w:style w:type="paragraph" w:styleId="Index1">
    <w:name w:val="index 1"/>
    <w:basedOn w:val="a1"/>
    <w:next w:val="a1"/>
    <w:autoRedefine/>
    <w:semiHidden/>
    <w:unhideWhenUsed/>
    <w:rsid w:val="002B3EF2"/>
    <w:pPr>
      <w:ind w:left="240" w:hanging="240"/>
    </w:pPr>
  </w:style>
  <w:style w:type="paragraph" w:styleId="Index2">
    <w:name w:val="index 2"/>
    <w:basedOn w:val="a1"/>
    <w:next w:val="a1"/>
    <w:autoRedefine/>
    <w:semiHidden/>
    <w:unhideWhenUsed/>
    <w:rsid w:val="002B3EF2"/>
    <w:pPr>
      <w:ind w:left="480" w:hanging="240"/>
    </w:pPr>
  </w:style>
  <w:style w:type="paragraph" w:styleId="Index3">
    <w:name w:val="index 3"/>
    <w:basedOn w:val="a1"/>
    <w:next w:val="a1"/>
    <w:autoRedefine/>
    <w:semiHidden/>
    <w:unhideWhenUsed/>
    <w:rsid w:val="002B3EF2"/>
    <w:pPr>
      <w:ind w:left="720" w:hanging="240"/>
    </w:pPr>
  </w:style>
  <w:style w:type="paragraph" w:styleId="Index4">
    <w:name w:val="index 4"/>
    <w:basedOn w:val="a1"/>
    <w:next w:val="a1"/>
    <w:autoRedefine/>
    <w:semiHidden/>
    <w:unhideWhenUsed/>
    <w:rsid w:val="002B3EF2"/>
    <w:pPr>
      <w:ind w:left="960" w:hanging="240"/>
    </w:pPr>
  </w:style>
  <w:style w:type="paragraph" w:styleId="Index5">
    <w:name w:val="index 5"/>
    <w:basedOn w:val="a1"/>
    <w:next w:val="a1"/>
    <w:autoRedefine/>
    <w:semiHidden/>
    <w:unhideWhenUsed/>
    <w:rsid w:val="002B3EF2"/>
    <w:pPr>
      <w:ind w:left="1200" w:hanging="240"/>
    </w:pPr>
  </w:style>
  <w:style w:type="paragraph" w:styleId="Index6">
    <w:name w:val="index 6"/>
    <w:basedOn w:val="a1"/>
    <w:next w:val="a1"/>
    <w:autoRedefine/>
    <w:semiHidden/>
    <w:unhideWhenUsed/>
    <w:rsid w:val="002B3EF2"/>
    <w:pPr>
      <w:ind w:left="1440" w:hanging="240"/>
    </w:pPr>
  </w:style>
  <w:style w:type="paragraph" w:styleId="Index7">
    <w:name w:val="index 7"/>
    <w:basedOn w:val="a1"/>
    <w:next w:val="a1"/>
    <w:autoRedefine/>
    <w:semiHidden/>
    <w:unhideWhenUsed/>
    <w:rsid w:val="002B3EF2"/>
    <w:pPr>
      <w:ind w:left="1680" w:hanging="240"/>
    </w:pPr>
  </w:style>
  <w:style w:type="paragraph" w:styleId="Index8">
    <w:name w:val="index 8"/>
    <w:basedOn w:val="a1"/>
    <w:next w:val="a1"/>
    <w:autoRedefine/>
    <w:semiHidden/>
    <w:unhideWhenUsed/>
    <w:rsid w:val="002B3EF2"/>
    <w:pPr>
      <w:ind w:left="1920" w:hanging="240"/>
    </w:pPr>
  </w:style>
  <w:style w:type="paragraph" w:styleId="Index9">
    <w:name w:val="index 9"/>
    <w:basedOn w:val="a1"/>
    <w:next w:val="a1"/>
    <w:autoRedefine/>
    <w:semiHidden/>
    <w:unhideWhenUsed/>
    <w:rsid w:val="002B3EF2"/>
    <w:pPr>
      <w:ind w:left="2160" w:hanging="240"/>
    </w:pPr>
  </w:style>
  <w:style w:type="paragraph" w:styleId="NormalWeb">
    <w:name w:val="Normal (Web)"/>
    <w:basedOn w:val="a1"/>
    <w:semiHidden/>
    <w:unhideWhenUsed/>
    <w:rsid w:val="002B3EF2"/>
    <w:rPr>
      <w:rFonts w:ascii="Times New Roman" w:hAnsi="Times New Roman" w:cs="Times New Roman"/>
    </w:rPr>
  </w:style>
  <w:style w:type="paragraph" w:styleId="TOC1">
    <w:name w:val="toc 1"/>
    <w:basedOn w:val="a1"/>
    <w:next w:val="a1"/>
    <w:autoRedefine/>
    <w:semiHidden/>
    <w:unhideWhenUsed/>
    <w:rsid w:val="002B3EF2"/>
    <w:pPr>
      <w:spacing w:after="100"/>
    </w:pPr>
  </w:style>
  <w:style w:type="paragraph" w:styleId="TOC2">
    <w:name w:val="toc 2"/>
    <w:basedOn w:val="a1"/>
    <w:next w:val="a1"/>
    <w:autoRedefine/>
    <w:semiHidden/>
    <w:unhideWhenUsed/>
    <w:rsid w:val="002B3EF2"/>
    <w:pPr>
      <w:spacing w:after="100"/>
      <w:ind w:left="240"/>
    </w:pPr>
  </w:style>
  <w:style w:type="paragraph" w:styleId="TOC3">
    <w:name w:val="toc 3"/>
    <w:basedOn w:val="a1"/>
    <w:next w:val="a1"/>
    <w:autoRedefine/>
    <w:semiHidden/>
    <w:unhideWhenUsed/>
    <w:rsid w:val="002B3EF2"/>
    <w:pPr>
      <w:spacing w:after="100"/>
      <w:ind w:left="480"/>
    </w:pPr>
  </w:style>
  <w:style w:type="paragraph" w:styleId="TOC4">
    <w:name w:val="toc 4"/>
    <w:basedOn w:val="a1"/>
    <w:next w:val="a1"/>
    <w:autoRedefine/>
    <w:semiHidden/>
    <w:unhideWhenUsed/>
    <w:rsid w:val="002B3EF2"/>
    <w:pPr>
      <w:spacing w:after="100"/>
      <w:ind w:left="720"/>
    </w:pPr>
  </w:style>
  <w:style w:type="paragraph" w:styleId="TOC5">
    <w:name w:val="toc 5"/>
    <w:basedOn w:val="a1"/>
    <w:next w:val="a1"/>
    <w:autoRedefine/>
    <w:semiHidden/>
    <w:unhideWhenUsed/>
    <w:rsid w:val="002B3EF2"/>
    <w:pPr>
      <w:spacing w:after="100"/>
      <w:ind w:left="960"/>
    </w:pPr>
  </w:style>
  <w:style w:type="paragraph" w:styleId="TOC6">
    <w:name w:val="toc 6"/>
    <w:basedOn w:val="a1"/>
    <w:next w:val="a1"/>
    <w:autoRedefine/>
    <w:semiHidden/>
    <w:unhideWhenUsed/>
    <w:rsid w:val="002B3EF2"/>
    <w:pPr>
      <w:spacing w:after="100"/>
      <w:ind w:left="1200"/>
    </w:pPr>
  </w:style>
  <w:style w:type="paragraph" w:styleId="TOC7">
    <w:name w:val="toc 7"/>
    <w:basedOn w:val="a1"/>
    <w:next w:val="a1"/>
    <w:autoRedefine/>
    <w:semiHidden/>
    <w:unhideWhenUsed/>
    <w:rsid w:val="002B3EF2"/>
    <w:pPr>
      <w:spacing w:after="100"/>
      <w:ind w:left="1440"/>
    </w:pPr>
  </w:style>
  <w:style w:type="paragraph" w:styleId="TOC8">
    <w:name w:val="toc 8"/>
    <w:basedOn w:val="a1"/>
    <w:next w:val="a1"/>
    <w:autoRedefine/>
    <w:semiHidden/>
    <w:unhideWhenUsed/>
    <w:rsid w:val="002B3EF2"/>
    <w:pPr>
      <w:spacing w:after="100"/>
      <w:ind w:left="1680"/>
    </w:pPr>
  </w:style>
  <w:style w:type="paragraph" w:styleId="TOC9">
    <w:name w:val="toc 9"/>
    <w:basedOn w:val="a1"/>
    <w:next w:val="a1"/>
    <w:autoRedefine/>
    <w:semiHidden/>
    <w:unhideWhenUsed/>
    <w:rsid w:val="002B3EF2"/>
    <w:pPr>
      <w:spacing w:after="100"/>
      <w:ind w:left="1920"/>
    </w:pPr>
  </w:style>
  <w:style w:type="table" w:styleId="-1">
    <w:name w:val="Table 3D effects 1"/>
    <w:basedOn w:val="a3"/>
    <w:semiHidden/>
    <w:unhideWhenUsed/>
    <w:rsid w:val="002B3EF2"/>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2B3EF2"/>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2B3EF2"/>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2B3EF2"/>
  </w:style>
  <w:style w:type="paragraph" w:styleId="af0">
    <w:name w:val="Salutation"/>
    <w:basedOn w:val="a1"/>
    <w:next w:val="a1"/>
    <w:link w:val="af1"/>
    <w:rsid w:val="002B3EF2"/>
  </w:style>
  <w:style w:type="character" w:customStyle="1" w:styleId="af1">
    <w:name w:val="ברכה תו"/>
    <w:basedOn w:val="a2"/>
    <w:link w:val="af0"/>
    <w:rsid w:val="002B3EF2"/>
    <w:rPr>
      <w:sz w:val="24"/>
      <w:szCs w:val="24"/>
    </w:rPr>
  </w:style>
  <w:style w:type="paragraph" w:styleId="af2">
    <w:name w:val="Body Text"/>
    <w:basedOn w:val="a1"/>
    <w:link w:val="af3"/>
    <w:semiHidden/>
    <w:unhideWhenUsed/>
    <w:rsid w:val="002B3EF2"/>
    <w:pPr>
      <w:spacing w:after="120"/>
    </w:pPr>
  </w:style>
  <w:style w:type="character" w:customStyle="1" w:styleId="af3">
    <w:name w:val="גוף טקסט תו"/>
    <w:basedOn w:val="a2"/>
    <w:link w:val="af2"/>
    <w:semiHidden/>
    <w:rsid w:val="002B3EF2"/>
    <w:rPr>
      <w:sz w:val="24"/>
      <w:szCs w:val="24"/>
    </w:rPr>
  </w:style>
  <w:style w:type="paragraph" w:styleId="22">
    <w:name w:val="Body Text 2"/>
    <w:basedOn w:val="a1"/>
    <w:link w:val="23"/>
    <w:semiHidden/>
    <w:unhideWhenUsed/>
    <w:rsid w:val="002B3EF2"/>
    <w:pPr>
      <w:spacing w:after="120" w:line="480" w:lineRule="auto"/>
    </w:pPr>
  </w:style>
  <w:style w:type="character" w:customStyle="1" w:styleId="23">
    <w:name w:val="גוף טקסט 2 תו"/>
    <w:basedOn w:val="a2"/>
    <w:link w:val="22"/>
    <w:semiHidden/>
    <w:rsid w:val="002B3EF2"/>
    <w:rPr>
      <w:sz w:val="24"/>
      <w:szCs w:val="24"/>
    </w:rPr>
  </w:style>
  <w:style w:type="paragraph" w:styleId="32">
    <w:name w:val="Body Text 3"/>
    <w:basedOn w:val="a1"/>
    <w:link w:val="33"/>
    <w:semiHidden/>
    <w:unhideWhenUsed/>
    <w:rsid w:val="002B3EF2"/>
    <w:pPr>
      <w:spacing w:after="120"/>
    </w:pPr>
    <w:rPr>
      <w:sz w:val="16"/>
      <w:szCs w:val="16"/>
    </w:rPr>
  </w:style>
  <w:style w:type="character" w:customStyle="1" w:styleId="33">
    <w:name w:val="גוף טקסט 3 תו"/>
    <w:basedOn w:val="a2"/>
    <w:link w:val="32"/>
    <w:semiHidden/>
    <w:rsid w:val="002B3EF2"/>
    <w:rPr>
      <w:sz w:val="16"/>
      <w:szCs w:val="16"/>
    </w:rPr>
  </w:style>
  <w:style w:type="character" w:styleId="HTML1">
    <w:name w:val="HTML Sample"/>
    <w:basedOn w:val="a2"/>
    <w:semiHidden/>
    <w:unhideWhenUsed/>
    <w:rsid w:val="002B3EF2"/>
    <w:rPr>
      <w:rFonts w:ascii="Consolas" w:hAnsi="Consolas"/>
      <w:sz w:val="24"/>
      <w:szCs w:val="24"/>
    </w:rPr>
  </w:style>
  <w:style w:type="character" w:styleId="af4">
    <w:name w:val="Emphasis"/>
    <w:basedOn w:val="a2"/>
    <w:qFormat/>
    <w:rsid w:val="002B3EF2"/>
    <w:rPr>
      <w:i/>
      <w:iCs/>
    </w:rPr>
  </w:style>
  <w:style w:type="character" w:styleId="af5">
    <w:name w:val="Intense Emphasis"/>
    <w:basedOn w:val="a2"/>
    <w:uiPriority w:val="21"/>
    <w:qFormat/>
    <w:rsid w:val="002B3EF2"/>
    <w:rPr>
      <w:i/>
      <w:iCs/>
      <w:color w:val="4F81BD" w:themeColor="accent1"/>
    </w:rPr>
  </w:style>
  <w:style w:type="character" w:styleId="af6">
    <w:name w:val="Subtle Emphasis"/>
    <w:basedOn w:val="a2"/>
    <w:uiPriority w:val="19"/>
    <w:qFormat/>
    <w:rsid w:val="002B3EF2"/>
    <w:rPr>
      <w:i/>
      <w:iCs/>
      <w:color w:val="404040" w:themeColor="text1" w:themeTint="BF"/>
    </w:rPr>
  </w:style>
  <w:style w:type="paragraph" w:styleId="af7">
    <w:name w:val="List Continue"/>
    <w:basedOn w:val="a1"/>
    <w:semiHidden/>
    <w:unhideWhenUsed/>
    <w:rsid w:val="002B3EF2"/>
    <w:pPr>
      <w:spacing w:after="120"/>
      <w:ind w:left="283"/>
      <w:contextualSpacing/>
    </w:pPr>
  </w:style>
  <w:style w:type="paragraph" w:styleId="24">
    <w:name w:val="List Continue 2"/>
    <w:basedOn w:val="a1"/>
    <w:semiHidden/>
    <w:unhideWhenUsed/>
    <w:rsid w:val="002B3EF2"/>
    <w:pPr>
      <w:spacing w:after="120"/>
      <w:ind w:left="566"/>
      <w:contextualSpacing/>
    </w:pPr>
  </w:style>
  <w:style w:type="paragraph" w:styleId="34">
    <w:name w:val="List Continue 3"/>
    <w:basedOn w:val="a1"/>
    <w:semiHidden/>
    <w:unhideWhenUsed/>
    <w:rsid w:val="002B3EF2"/>
    <w:pPr>
      <w:spacing w:after="120"/>
      <w:ind w:left="849"/>
      <w:contextualSpacing/>
    </w:pPr>
  </w:style>
  <w:style w:type="paragraph" w:styleId="43">
    <w:name w:val="List Continue 4"/>
    <w:basedOn w:val="a1"/>
    <w:semiHidden/>
    <w:unhideWhenUsed/>
    <w:rsid w:val="002B3EF2"/>
    <w:pPr>
      <w:spacing w:after="120"/>
      <w:ind w:left="1132"/>
      <w:contextualSpacing/>
    </w:pPr>
  </w:style>
  <w:style w:type="paragraph" w:styleId="53">
    <w:name w:val="List Continue 5"/>
    <w:basedOn w:val="a1"/>
    <w:semiHidden/>
    <w:unhideWhenUsed/>
    <w:rsid w:val="002B3EF2"/>
    <w:pPr>
      <w:spacing w:after="120"/>
      <w:ind w:left="1415"/>
      <w:contextualSpacing/>
    </w:pPr>
  </w:style>
  <w:style w:type="character" w:styleId="af8">
    <w:name w:val="Intense Reference"/>
    <w:basedOn w:val="a2"/>
    <w:uiPriority w:val="32"/>
    <w:qFormat/>
    <w:rsid w:val="002B3EF2"/>
    <w:rPr>
      <w:b/>
      <w:bCs/>
      <w:smallCaps/>
      <w:color w:val="4F81BD" w:themeColor="accent1"/>
      <w:spacing w:val="5"/>
    </w:rPr>
  </w:style>
  <w:style w:type="character" w:styleId="af9">
    <w:name w:val="endnote reference"/>
    <w:basedOn w:val="a2"/>
    <w:semiHidden/>
    <w:unhideWhenUsed/>
    <w:rsid w:val="002B3EF2"/>
    <w:rPr>
      <w:vertAlign w:val="superscript"/>
    </w:rPr>
  </w:style>
  <w:style w:type="character" w:styleId="afa">
    <w:name w:val="footnote reference"/>
    <w:basedOn w:val="a2"/>
    <w:semiHidden/>
    <w:unhideWhenUsed/>
    <w:rsid w:val="002B3EF2"/>
    <w:rPr>
      <w:vertAlign w:val="superscript"/>
    </w:rPr>
  </w:style>
  <w:style w:type="character" w:styleId="afb">
    <w:name w:val="Subtle Reference"/>
    <w:basedOn w:val="a2"/>
    <w:uiPriority w:val="31"/>
    <w:qFormat/>
    <w:rsid w:val="002B3EF2"/>
    <w:rPr>
      <w:smallCaps/>
      <w:color w:val="5A5A5A" w:themeColor="text1" w:themeTint="A5"/>
    </w:rPr>
  </w:style>
  <w:style w:type="table" w:styleId="afc">
    <w:name w:val="Light Shading"/>
    <w:basedOn w:val="a3"/>
    <w:uiPriority w:val="60"/>
    <w:semiHidden/>
    <w:unhideWhenUsed/>
    <w:rsid w:val="002B3EF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2B3EF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2B3EF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2B3EF2"/>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2B3EF2"/>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2B3EF2"/>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2B3EF2"/>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2B3EF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2B3EF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2B3EF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2B3EF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2B3EF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2B3EF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2B3EF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2B3EF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2B3EF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2B3EF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2B3EF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2B3EF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2B3EF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2B3EF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2B3EF2"/>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2B3EF2"/>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2B3EF2"/>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2B3EF2"/>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2B3EF2"/>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2B3EF2"/>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2B3EF2"/>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2B3EF2"/>
    <w:rPr>
      <w:b/>
      <w:bCs/>
    </w:rPr>
  </w:style>
  <w:style w:type="paragraph" w:styleId="aff">
    <w:name w:val="Signature"/>
    <w:basedOn w:val="a1"/>
    <w:link w:val="aff0"/>
    <w:semiHidden/>
    <w:unhideWhenUsed/>
    <w:rsid w:val="002B3EF2"/>
    <w:pPr>
      <w:ind w:left="4252"/>
    </w:pPr>
  </w:style>
  <w:style w:type="character" w:customStyle="1" w:styleId="aff0">
    <w:name w:val="חתימה תו"/>
    <w:basedOn w:val="a2"/>
    <w:link w:val="aff"/>
    <w:semiHidden/>
    <w:rsid w:val="002B3EF2"/>
    <w:rPr>
      <w:sz w:val="24"/>
      <w:szCs w:val="24"/>
    </w:rPr>
  </w:style>
  <w:style w:type="paragraph" w:styleId="aff1">
    <w:name w:val="E-mail Signature"/>
    <w:basedOn w:val="a1"/>
    <w:link w:val="aff2"/>
    <w:semiHidden/>
    <w:unhideWhenUsed/>
    <w:rsid w:val="002B3EF2"/>
  </w:style>
  <w:style w:type="character" w:customStyle="1" w:styleId="aff2">
    <w:name w:val="חתימת דואר אלקטרוני תו"/>
    <w:basedOn w:val="a2"/>
    <w:link w:val="aff1"/>
    <w:semiHidden/>
    <w:rsid w:val="002B3EF2"/>
    <w:rPr>
      <w:sz w:val="24"/>
      <w:szCs w:val="24"/>
    </w:rPr>
  </w:style>
  <w:style w:type="table" w:styleId="aff3">
    <w:name w:val="Table Elegant"/>
    <w:basedOn w:val="a3"/>
    <w:semiHidden/>
    <w:unhideWhenUsed/>
    <w:rsid w:val="002B3EF2"/>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2B3EF2"/>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2B3EF2"/>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2B3EF2"/>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2B3EF2"/>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2B3EF2"/>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2B3EF2"/>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2B3EF2"/>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2B3EF2"/>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2B3EF2"/>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2B3EF2"/>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2B3EF2"/>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2B3EF2"/>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2B3EF2"/>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2B3EF2"/>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2B3EF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2B3EF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2B3EF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2B3EF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2B3EF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2B3EF2"/>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2B3EF2"/>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2B3EF2"/>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2B3EF2"/>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2B3EF2"/>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2B3EF2"/>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2B3EF2"/>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2B3EF2"/>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2B3EF2"/>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2B3EF2"/>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2B3EF2"/>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2B3EF2"/>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2B3EF2"/>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2B3EF2"/>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2B3EF2"/>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2B3EF2"/>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2B3EF2"/>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2B3EF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2B3EF2"/>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2B3EF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2B3EF2"/>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2B3EF2"/>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2B3EF2"/>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2B3EF2"/>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2B3EF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2B3EF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2B3EF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2B3EF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2B3EF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2B3EF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2B3EF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2B3EF2"/>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2B3EF2"/>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2B3EF2"/>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2B3EF2"/>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2B3EF2"/>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2B3EF2"/>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2B3EF2"/>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2B3EF2"/>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2B3EF2"/>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2B3EF2"/>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2B3EF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2B3EF2"/>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2B3EF2"/>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2B3EF2"/>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2B3EF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2B3EF2"/>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2B3EF2"/>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2B3EF2"/>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2B3EF2"/>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2B3EF2"/>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2B3EF2"/>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2B3EF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2B3EF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2B3EF2"/>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2B3EF2"/>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2B3EF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2B3EF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2B3EF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2B3EF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2B3EF2"/>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2B3EF2"/>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2B3EF2"/>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2B3EF2"/>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2B3EF2"/>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2B3EF2"/>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2B3EF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2B3EF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2B3EF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2B3EF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2B3EF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2B3EF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2B3EF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2B3EF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2B3EF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2B3EF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2B3EF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2B3EF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2B3EF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2B3EF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2B3EF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2B3EF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2B3EF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2B3EF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2B3EF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2B3EF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2B3EF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2B3EF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2B3EF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2B3EF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2B3EF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2B3EF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2B3EF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2B3EF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2B3EF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2B3EF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2B3EF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2B3EF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2B3EF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2B3EF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2B3EF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2B3EF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2B3EF2"/>
    <w:rPr>
      <w:sz w:val="20"/>
      <w:szCs w:val="20"/>
    </w:rPr>
  </w:style>
  <w:style w:type="character" w:customStyle="1" w:styleId="aff8">
    <w:name w:val="טקסט הערת סיום תו"/>
    <w:basedOn w:val="a2"/>
    <w:link w:val="aff7"/>
    <w:semiHidden/>
    <w:rsid w:val="002B3EF2"/>
  </w:style>
  <w:style w:type="paragraph" w:styleId="aff9">
    <w:name w:val="footnote text"/>
    <w:basedOn w:val="a1"/>
    <w:link w:val="affa"/>
    <w:semiHidden/>
    <w:unhideWhenUsed/>
    <w:rsid w:val="002B3EF2"/>
    <w:rPr>
      <w:sz w:val="20"/>
      <w:szCs w:val="20"/>
    </w:rPr>
  </w:style>
  <w:style w:type="character" w:customStyle="1" w:styleId="affa">
    <w:name w:val="טקסט הערת שוליים תו"/>
    <w:basedOn w:val="a2"/>
    <w:link w:val="aff9"/>
    <w:semiHidden/>
    <w:rsid w:val="002B3EF2"/>
  </w:style>
  <w:style w:type="paragraph" w:styleId="affb">
    <w:name w:val="macro"/>
    <w:link w:val="affc"/>
    <w:semiHidden/>
    <w:unhideWhenUsed/>
    <w:rsid w:val="002B3EF2"/>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2B3EF2"/>
    <w:rPr>
      <w:rFonts w:ascii="Consolas" w:hAnsi="Consolas"/>
    </w:rPr>
  </w:style>
  <w:style w:type="paragraph" w:styleId="affd">
    <w:name w:val="Plain Text"/>
    <w:basedOn w:val="a1"/>
    <w:link w:val="affe"/>
    <w:semiHidden/>
    <w:unhideWhenUsed/>
    <w:rsid w:val="002B3EF2"/>
    <w:rPr>
      <w:rFonts w:ascii="Consolas" w:hAnsi="Consolas"/>
      <w:sz w:val="21"/>
      <w:szCs w:val="21"/>
    </w:rPr>
  </w:style>
  <w:style w:type="character" w:customStyle="1" w:styleId="affe">
    <w:name w:val="טקסט רגיל תו"/>
    <w:basedOn w:val="a2"/>
    <w:link w:val="affd"/>
    <w:semiHidden/>
    <w:rsid w:val="002B3EF2"/>
    <w:rPr>
      <w:rFonts w:ascii="Consolas" w:hAnsi="Consolas"/>
      <w:sz w:val="21"/>
      <w:szCs w:val="21"/>
    </w:rPr>
  </w:style>
  <w:style w:type="character" w:styleId="afff">
    <w:name w:val="Book Title"/>
    <w:basedOn w:val="a2"/>
    <w:uiPriority w:val="33"/>
    <w:qFormat/>
    <w:rsid w:val="002B3EF2"/>
    <w:rPr>
      <w:b/>
      <w:bCs/>
      <w:i/>
      <w:iCs/>
      <w:spacing w:val="5"/>
    </w:rPr>
  </w:style>
  <w:style w:type="character" w:customStyle="1" w:styleId="42">
    <w:name w:val="כותרת 4 תו"/>
    <w:basedOn w:val="a2"/>
    <w:link w:val="41"/>
    <w:semiHidden/>
    <w:rsid w:val="002B3EF2"/>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2B3EF2"/>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2B3EF2"/>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2B3EF2"/>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2B3EF2"/>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2B3EF2"/>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2B3EF2"/>
    <w:rPr>
      <w:rFonts w:asciiTheme="majorHAnsi" w:eastAsiaTheme="majorEastAsia" w:hAnsiTheme="majorHAnsi" w:cstheme="majorBidi"/>
      <w:b/>
      <w:bCs/>
    </w:rPr>
  </w:style>
  <w:style w:type="paragraph" w:styleId="afff1">
    <w:name w:val="Note Heading"/>
    <w:basedOn w:val="a1"/>
    <w:next w:val="a1"/>
    <w:link w:val="afff2"/>
    <w:semiHidden/>
    <w:unhideWhenUsed/>
    <w:rsid w:val="002B3EF2"/>
  </w:style>
  <w:style w:type="character" w:customStyle="1" w:styleId="afff2">
    <w:name w:val="כותרת הערות תו"/>
    <w:basedOn w:val="a2"/>
    <w:link w:val="afff1"/>
    <w:semiHidden/>
    <w:rsid w:val="002B3EF2"/>
    <w:rPr>
      <w:sz w:val="24"/>
      <w:szCs w:val="24"/>
    </w:rPr>
  </w:style>
  <w:style w:type="paragraph" w:styleId="afff3">
    <w:name w:val="Title"/>
    <w:basedOn w:val="a1"/>
    <w:next w:val="a1"/>
    <w:link w:val="afff4"/>
    <w:qFormat/>
    <w:rsid w:val="002B3EF2"/>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2B3EF2"/>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2B3E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2B3EF2"/>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2B3EF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2B3EF2"/>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2B3EF2"/>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2B3EF2"/>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2B3EF2"/>
    <w:pPr>
      <w:spacing w:after="200"/>
    </w:pPr>
    <w:rPr>
      <w:i/>
      <w:iCs/>
      <w:color w:val="1F497D" w:themeColor="text2"/>
      <w:sz w:val="18"/>
      <w:szCs w:val="18"/>
    </w:rPr>
  </w:style>
  <w:style w:type="paragraph" w:styleId="afffc">
    <w:name w:val="Body Text Indent"/>
    <w:basedOn w:val="a1"/>
    <w:link w:val="afffd"/>
    <w:semiHidden/>
    <w:unhideWhenUsed/>
    <w:rsid w:val="002B3EF2"/>
    <w:pPr>
      <w:spacing w:after="120"/>
      <w:ind w:left="283"/>
    </w:pPr>
  </w:style>
  <w:style w:type="character" w:customStyle="1" w:styleId="afffd">
    <w:name w:val="כניסה בגוף טקסט תו"/>
    <w:basedOn w:val="a2"/>
    <w:link w:val="afffc"/>
    <w:semiHidden/>
    <w:rsid w:val="002B3EF2"/>
    <w:rPr>
      <w:sz w:val="24"/>
      <w:szCs w:val="24"/>
    </w:rPr>
  </w:style>
  <w:style w:type="paragraph" w:styleId="2e">
    <w:name w:val="Body Text Indent 2"/>
    <w:basedOn w:val="a1"/>
    <w:link w:val="2f"/>
    <w:semiHidden/>
    <w:unhideWhenUsed/>
    <w:rsid w:val="002B3EF2"/>
    <w:pPr>
      <w:spacing w:after="120" w:line="480" w:lineRule="auto"/>
      <w:ind w:left="283"/>
    </w:pPr>
  </w:style>
  <w:style w:type="character" w:customStyle="1" w:styleId="2f">
    <w:name w:val="כניסה בגוף טקסט 2 תו"/>
    <w:basedOn w:val="a2"/>
    <w:link w:val="2e"/>
    <w:semiHidden/>
    <w:rsid w:val="002B3EF2"/>
    <w:rPr>
      <w:sz w:val="24"/>
      <w:szCs w:val="24"/>
    </w:rPr>
  </w:style>
  <w:style w:type="paragraph" w:styleId="3c">
    <w:name w:val="Body Text Indent 3"/>
    <w:basedOn w:val="a1"/>
    <w:link w:val="3d"/>
    <w:semiHidden/>
    <w:unhideWhenUsed/>
    <w:rsid w:val="002B3EF2"/>
    <w:pPr>
      <w:spacing w:after="120"/>
      <w:ind w:left="283"/>
    </w:pPr>
    <w:rPr>
      <w:sz w:val="16"/>
      <w:szCs w:val="16"/>
    </w:rPr>
  </w:style>
  <w:style w:type="character" w:customStyle="1" w:styleId="3d">
    <w:name w:val="כניסה בגוף טקסט 3 תו"/>
    <w:basedOn w:val="a2"/>
    <w:link w:val="3c"/>
    <w:semiHidden/>
    <w:rsid w:val="002B3EF2"/>
    <w:rPr>
      <w:sz w:val="16"/>
      <w:szCs w:val="16"/>
    </w:rPr>
  </w:style>
  <w:style w:type="paragraph" w:styleId="afffe">
    <w:name w:val="Normal Indent"/>
    <w:basedOn w:val="a1"/>
    <w:semiHidden/>
    <w:unhideWhenUsed/>
    <w:rsid w:val="002B3EF2"/>
    <w:pPr>
      <w:ind w:left="720"/>
    </w:pPr>
  </w:style>
  <w:style w:type="paragraph" w:styleId="affff">
    <w:name w:val="Body Text First Indent"/>
    <w:basedOn w:val="af2"/>
    <w:link w:val="affff0"/>
    <w:rsid w:val="002B3EF2"/>
    <w:pPr>
      <w:spacing w:after="0"/>
      <w:ind w:firstLine="360"/>
    </w:pPr>
  </w:style>
  <w:style w:type="character" w:customStyle="1" w:styleId="affff0">
    <w:name w:val="כניסת שורה ראשונה בגוף טקסט תו"/>
    <w:basedOn w:val="af3"/>
    <w:link w:val="affff"/>
    <w:rsid w:val="002B3EF2"/>
    <w:rPr>
      <w:sz w:val="24"/>
      <w:szCs w:val="24"/>
    </w:rPr>
  </w:style>
  <w:style w:type="paragraph" w:styleId="2f0">
    <w:name w:val="Body Text First Indent 2"/>
    <w:basedOn w:val="afffc"/>
    <w:link w:val="2f1"/>
    <w:semiHidden/>
    <w:unhideWhenUsed/>
    <w:rsid w:val="002B3EF2"/>
    <w:pPr>
      <w:spacing w:after="0"/>
      <w:ind w:left="360" w:firstLine="360"/>
    </w:pPr>
  </w:style>
  <w:style w:type="character" w:customStyle="1" w:styleId="2f1">
    <w:name w:val="כניסת שורה ראשונה בגוף טקסט 2 תו"/>
    <w:basedOn w:val="afffd"/>
    <w:link w:val="2f0"/>
    <w:semiHidden/>
    <w:rsid w:val="002B3EF2"/>
    <w:rPr>
      <w:sz w:val="24"/>
      <w:szCs w:val="24"/>
    </w:rPr>
  </w:style>
  <w:style w:type="paragraph" w:styleId="HTML2">
    <w:name w:val="HTML Address"/>
    <w:basedOn w:val="a1"/>
    <w:link w:val="HTML3"/>
    <w:semiHidden/>
    <w:unhideWhenUsed/>
    <w:rsid w:val="002B3EF2"/>
    <w:rPr>
      <w:i/>
      <w:iCs/>
    </w:rPr>
  </w:style>
  <w:style w:type="character" w:customStyle="1" w:styleId="HTML3">
    <w:name w:val="כתובת HTML תו"/>
    <w:basedOn w:val="a2"/>
    <w:link w:val="HTML2"/>
    <w:semiHidden/>
    <w:rsid w:val="002B3EF2"/>
    <w:rPr>
      <w:i/>
      <w:iCs/>
      <w:sz w:val="24"/>
      <w:szCs w:val="24"/>
    </w:rPr>
  </w:style>
  <w:style w:type="paragraph" w:styleId="affff1">
    <w:name w:val="envelope address"/>
    <w:basedOn w:val="a1"/>
    <w:semiHidden/>
    <w:unhideWhenUsed/>
    <w:rsid w:val="002B3EF2"/>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2B3EF2"/>
    <w:rPr>
      <w:rFonts w:asciiTheme="majorHAnsi" w:eastAsiaTheme="majorEastAsia" w:hAnsiTheme="majorHAnsi" w:cstheme="majorBidi"/>
      <w:sz w:val="20"/>
      <w:szCs w:val="20"/>
    </w:rPr>
  </w:style>
  <w:style w:type="paragraph" w:styleId="affff3">
    <w:name w:val="No Spacing"/>
    <w:uiPriority w:val="1"/>
    <w:qFormat/>
    <w:rsid w:val="002B3EF2"/>
    <w:pPr>
      <w:bidi/>
    </w:pPr>
    <w:rPr>
      <w:sz w:val="24"/>
      <w:szCs w:val="24"/>
    </w:rPr>
  </w:style>
  <w:style w:type="character" w:styleId="HTML4">
    <w:name w:val="HTML Typewriter"/>
    <w:basedOn w:val="a2"/>
    <w:semiHidden/>
    <w:unhideWhenUsed/>
    <w:rsid w:val="002B3EF2"/>
    <w:rPr>
      <w:rFonts w:ascii="Consolas" w:hAnsi="Consolas"/>
      <w:sz w:val="20"/>
      <w:szCs w:val="20"/>
    </w:rPr>
  </w:style>
  <w:style w:type="paragraph" w:styleId="affff4">
    <w:name w:val="Document Map"/>
    <w:basedOn w:val="a1"/>
    <w:link w:val="affff5"/>
    <w:semiHidden/>
    <w:unhideWhenUsed/>
    <w:rsid w:val="002B3EF2"/>
    <w:rPr>
      <w:rFonts w:ascii="Tahoma" w:hAnsi="Tahoma" w:cs="Tahoma"/>
      <w:sz w:val="16"/>
      <w:szCs w:val="16"/>
    </w:rPr>
  </w:style>
  <w:style w:type="character" w:customStyle="1" w:styleId="affff5">
    <w:name w:val="מפת מסמך תו"/>
    <w:basedOn w:val="a2"/>
    <w:link w:val="affff4"/>
    <w:semiHidden/>
    <w:rsid w:val="002B3EF2"/>
    <w:rPr>
      <w:rFonts w:ascii="Tahoma" w:hAnsi="Tahoma" w:cs="Tahoma"/>
      <w:sz w:val="16"/>
      <w:szCs w:val="16"/>
    </w:rPr>
  </w:style>
  <w:style w:type="character" w:styleId="HTML5">
    <w:name w:val="HTML Keyboard"/>
    <w:basedOn w:val="a2"/>
    <w:semiHidden/>
    <w:unhideWhenUsed/>
    <w:rsid w:val="002B3EF2"/>
    <w:rPr>
      <w:rFonts w:ascii="Consolas" w:hAnsi="Consolas"/>
      <w:sz w:val="20"/>
      <w:szCs w:val="20"/>
    </w:rPr>
  </w:style>
  <w:style w:type="paragraph" w:styleId="affff6">
    <w:name w:val="annotation subject"/>
    <w:basedOn w:val="a8"/>
    <w:next w:val="a8"/>
    <w:link w:val="affff7"/>
    <w:semiHidden/>
    <w:unhideWhenUsed/>
    <w:rsid w:val="002B3EF2"/>
    <w:rPr>
      <w:rFonts w:ascii="David" w:eastAsia="David" w:hAnsi="David" w:cs="David"/>
      <w:b/>
      <w:bCs/>
    </w:rPr>
  </w:style>
  <w:style w:type="character" w:customStyle="1" w:styleId="a9">
    <w:name w:val="טקסט הערה תו"/>
    <w:basedOn w:val="a2"/>
    <w:link w:val="a8"/>
    <w:semiHidden/>
    <w:rsid w:val="002B3EF2"/>
    <w:rPr>
      <w:rFonts w:ascii="Times New Roman" w:eastAsia="Times New Roman" w:hAnsi="Times New Roman" w:cs="Times New Roman"/>
    </w:rPr>
  </w:style>
  <w:style w:type="character" w:customStyle="1" w:styleId="affff7">
    <w:name w:val="נושא הערה תו"/>
    <w:basedOn w:val="a9"/>
    <w:link w:val="affff6"/>
    <w:semiHidden/>
    <w:rsid w:val="002B3EF2"/>
    <w:rPr>
      <w:rFonts w:ascii="Times New Roman" w:eastAsia="Times New Roman" w:hAnsi="Times New Roman" w:cs="Times New Roman"/>
      <w:b/>
      <w:bCs/>
    </w:rPr>
  </w:style>
  <w:style w:type="table" w:styleId="affff8">
    <w:name w:val="Table Theme"/>
    <w:basedOn w:val="a3"/>
    <w:semiHidden/>
    <w:unhideWhenUsed/>
    <w:rsid w:val="002B3EF2"/>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2B3EF2"/>
    <w:pPr>
      <w:ind w:left="4252"/>
    </w:pPr>
  </w:style>
  <w:style w:type="character" w:customStyle="1" w:styleId="affffa">
    <w:name w:val="סיום תו"/>
    <w:basedOn w:val="a2"/>
    <w:link w:val="affff9"/>
    <w:semiHidden/>
    <w:rsid w:val="002B3EF2"/>
    <w:rPr>
      <w:sz w:val="24"/>
      <w:szCs w:val="24"/>
    </w:rPr>
  </w:style>
  <w:style w:type="table" w:styleId="1a">
    <w:name w:val="Table Columns 1"/>
    <w:basedOn w:val="a3"/>
    <w:semiHidden/>
    <w:unhideWhenUsed/>
    <w:rsid w:val="002B3EF2"/>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2B3EF2"/>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2B3EF2"/>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2B3EF2"/>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2B3EF2"/>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uiPriority w:val="34"/>
    <w:qFormat/>
    <w:rsid w:val="002B3EF2"/>
    <w:pPr>
      <w:ind w:left="720"/>
      <w:contextualSpacing/>
    </w:pPr>
  </w:style>
  <w:style w:type="paragraph" w:styleId="affffc">
    <w:name w:val="Quote"/>
    <w:basedOn w:val="a1"/>
    <w:next w:val="a1"/>
    <w:link w:val="affffd"/>
    <w:uiPriority w:val="29"/>
    <w:qFormat/>
    <w:rsid w:val="002B3EF2"/>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2B3EF2"/>
    <w:rPr>
      <w:i/>
      <w:iCs/>
      <w:color w:val="404040" w:themeColor="text1" w:themeTint="BF"/>
      <w:sz w:val="24"/>
      <w:szCs w:val="24"/>
    </w:rPr>
  </w:style>
  <w:style w:type="paragraph" w:styleId="affffe">
    <w:name w:val="Intense Quote"/>
    <w:basedOn w:val="a1"/>
    <w:next w:val="a1"/>
    <w:link w:val="afffff"/>
    <w:uiPriority w:val="30"/>
    <w:qFormat/>
    <w:rsid w:val="002B3EF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2B3EF2"/>
    <w:rPr>
      <w:i/>
      <w:iCs/>
      <w:color w:val="4F81BD" w:themeColor="accent1"/>
      <w:sz w:val="24"/>
      <w:szCs w:val="24"/>
    </w:rPr>
  </w:style>
  <w:style w:type="character" w:styleId="HTML6">
    <w:name w:val="HTML Acronym"/>
    <w:basedOn w:val="a2"/>
    <w:semiHidden/>
    <w:unhideWhenUsed/>
    <w:rsid w:val="002B3EF2"/>
  </w:style>
  <w:style w:type="paragraph" w:styleId="afffff0">
    <w:name w:val="List"/>
    <w:basedOn w:val="a1"/>
    <w:semiHidden/>
    <w:unhideWhenUsed/>
    <w:rsid w:val="002B3EF2"/>
    <w:pPr>
      <w:ind w:left="283" w:hanging="283"/>
      <w:contextualSpacing/>
    </w:pPr>
  </w:style>
  <w:style w:type="paragraph" w:styleId="2f3">
    <w:name w:val="List 2"/>
    <w:basedOn w:val="a1"/>
    <w:semiHidden/>
    <w:unhideWhenUsed/>
    <w:rsid w:val="002B3EF2"/>
    <w:pPr>
      <w:ind w:left="566" w:hanging="283"/>
      <w:contextualSpacing/>
    </w:pPr>
  </w:style>
  <w:style w:type="paragraph" w:styleId="3f">
    <w:name w:val="List 3"/>
    <w:basedOn w:val="a1"/>
    <w:semiHidden/>
    <w:unhideWhenUsed/>
    <w:rsid w:val="002B3EF2"/>
    <w:pPr>
      <w:ind w:left="849" w:hanging="283"/>
      <w:contextualSpacing/>
    </w:pPr>
  </w:style>
  <w:style w:type="paragraph" w:styleId="49">
    <w:name w:val="List 4"/>
    <w:basedOn w:val="a1"/>
    <w:rsid w:val="002B3EF2"/>
    <w:pPr>
      <w:ind w:left="1132" w:hanging="283"/>
      <w:contextualSpacing/>
    </w:pPr>
  </w:style>
  <w:style w:type="paragraph" w:styleId="58">
    <w:name w:val="List 5"/>
    <w:basedOn w:val="a1"/>
    <w:rsid w:val="002B3EF2"/>
    <w:pPr>
      <w:ind w:left="1415" w:hanging="283"/>
      <w:contextualSpacing/>
    </w:pPr>
  </w:style>
  <w:style w:type="table" w:styleId="afffff1">
    <w:name w:val="Light List"/>
    <w:basedOn w:val="a3"/>
    <w:uiPriority w:val="61"/>
    <w:semiHidden/>
    <w:unhideWhenUsed/>
    <w:rsid w:val="002B3EF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2B3EF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2B3EF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2B3EF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2B3EF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2B3EF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2B3EF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2B3EF2"/>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2B3EF2"/>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2B3EF2"/>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2B3EF2"/>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2B3EF2"/>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2B3EF2"/>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2B3EF2"/>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2B3EF2"/>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2B3EF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2B3EF2"/>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2B3EF2"/>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2B3EF2"/>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2B3EF2"/>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2B3EF2"/>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2B3EF2"/>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2B3EF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2B3EF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2B3EF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2B3EF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2B3EF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2B3EF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2B3EF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2B3EF2"/>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2B3EF2"/>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2B3EF2"/>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2B3EF2"/>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2B3EF2"/>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2B3EF2"/>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2B3EF2"/>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2B3EF2"/>
    <w:pPr>
      <w:numPr>
        <w:numId w:val="18"/>
      </w:numPr>
      <w:contextualSpacing/>
    </w:pPr>
  </w:style>
  <w:style w:type="paragraph" w:styleId="2">
    <w:name w:val="List Number 2"/>
    <w:basedOn w:val="a1"/>
    <w:semiHidden/>
    <w:unhideWhenUsed/>
    <w:rsid w:val="002B3EF2"/>
    <w:pPr>
      <w:numPr>
        <w:numId w:val="19"/>
      </w:numPr>
      <w:contextualSpacing/>
    </w:pPr>
  </w:style>
  <w:style w:type="paragraph" w:styleId="3">
    <w:name w:val="List Number 3"/>
    <w:basedOn w:val="a1"/>
    <w:semiHidden/>
    <w:unhideWhenUsed/>
    <w:rsid w:val="002B3EF2"/>
    <w:pPr>
      <w:numPr>
        <w:numId w:val="20"/>
      </w:numPr>
      <w:contextualSpacing/>
    </w:pPr>
  </w:style>
  <w:style w:type="paragraph" w:styleId="4">
    <w:name w:val="List Number 4"/>
    <w:basedOn w:val="a1"/>
    <w:semiHidden/>
    <w:unhideWhenUsed/>
    <w:rsid w:val="002B3EF2"/>
    <w:pPr>
      <w:numPr>
        <w:numId w:val="21"/>
      </w:numPr>
      <w:contextualSpacing/>
    </w:pPr>
  </w:style>
  <w:style w:type="paragraph" w:styleId="5">
    <w:name w:val="List Number 5"/>
    <w:basedOn w:val="a1"/>
    <w:semiHidden/>
    <w:unhideWhenUsed/>
    <w:rsid w:val="002B3EF2"/>
    <w:pPr>
      <w:numPr>
        <w:numId w:val="22"/>
      </w:numPr>
      <w:contextualSpacing/>
    </w:pPr>
  </w:style>
  <w:style w:type="paragraph" w:styleId="a0">
    <w:name w:val="List Bullet"/>
    <w:basedOn w:val="a1"/>
    <w:semiHidden/>
    <w:unhideWhenUsed/>
    <w:rsid w:val="002B3EF2"/>
    <w:pPr>
      <w:numPr>
        <w:numId w:val="23"/>
      </w:numPr>
      <w:contextualSpacing/>
    </w:pPr>
  </w:style>
  <w:style w:type="paragraph" w:styleId="20">
    <w:name w:val="List Bullet 2"/>
    <w:basedOn w:val="a1"/>
    <w:semiHidden/>
    <w:unhideWhenUsed/>
    <w:rsid w:val="002B3EF2"/>
    <w:pPr>
      <w:numPr>
        <w:numId w:val="24"/>
      </w:numPr>
      <w:contextualSpacing/>
    </w:pPr>
  </w:style>
  <w:style w:type="paragraph" w:styleId="30">
    <w:name w:val="List Bullet 3"/>
    <w:basedOn w:val="a1"/>
    <w:semiHidden/>
    <w:unhideWhenUsed/>
    <w:rsid w:val="002B3EF2"/>
    <w:pPr>
      <w:numPr>
        <w:numId w:val="25"/>
      </w:numPr>
      <w:contextualSpacing/>
    </w:pPr>
  </w:style>
  <w:style w:type="paragraph" w:styleId="40">
    <w:name w:val="List Bullet 4"/>
    <w:basedOn w:val="a1"/>
    <w:semiHidden/>
    <w:unhideWhenUsed/>
    <w:rsid w:val="002B3EF2"/>
    <w:pPr>
      <w:numPr>
        <w:numId w:val="26"/>
      </w:numPr>
      <w:contextualSpacing/>
    </w:pPr>
  </w:style>
  <w:style w:type="paragraph" w:styleId="50">
    <w:name w:val="List Bullet 5"/>
    <w:basedOn w:val="a1"/>
    <w:semiHidden/>
    <w:unhideWhenUsed/>
    <w:rsid w:val="002B3EF2"/>
    <w:pPr>
      <w:numPr>
        <w:numId w:val="27"/>
      </w:numPr>
      <w:contextualSpacing/>
    </w:pPr>
  </w:style>
  <w:style w:type="table" w:styleId="afffff3">
    <w:name w:val="Colorful List"/>
    <w:basedOn w:val="a3"/>
    <w:uiPriority w:val="72"/>
    <w:semiHidden/>
    <w:unhideWhenUsed/>
    <w:rsid w:val="002B3EF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2B3EF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2B3EF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2B3EF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2B3EF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2B3EF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2B3EF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2B3EF2"/>
  </w:style>
  <w:style w:type="paragraph" w:styleId="afffff5">
    <w:name w:val="table of authorities"/>
    <w:basedOn w:val="a1"/>
    <w:next w:val="a1"/>
    <w:semiHidden/>
    <w:unhideWhenUsed/>
    <w:rsid w:val="002B3EF2"/>
    <w:pPr>
      <w:ind w:left="240" w:hanging="240"/>
    </w:pPr>
  </w:style>
  <w:style w:type="table" w:styleId="afffff6">
    <w:name w:val="Light Grid"/>
    <w:basedOn w:val="a3"/>
    <w:uiPriority w:val="62"/>
    <w:semiHidden/>
    <w:unhideWhenUsed/>
    <w:rsid w:val="002B3EF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2B3EF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2B3EF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2B3EF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2B3EF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2B3EF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2B3EF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2B3EF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2B3EF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2B3EF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2B3EF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2B3EF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2B3EF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2B3EF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2B3EF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2B3EF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2B3EF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2B3EF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2B3EF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2B3EF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2B3EF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2B3EF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2B3EF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2B3EF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2B3EF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2B3EF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2B3EF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2B3EF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2B3EF2"/>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2B3EF2"/>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2B3EF2"/>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2B3EF2"/>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2B3EF2"/>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2B3EF2"/>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2B3EF2"/>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2B3EF2"/>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2B3EF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2B3EF2"/>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2B3EF2"/>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2B3EF2"/>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2B3EF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2B3EF2"/>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2B3EF2"/>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2B3EF2"/>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2B3EF2"/>
  </w:style>
  <w:style w:type="character" w:customStyle="1" w:styleId="afffffa">
    <w:name w:val="תאריך תו"/>
    <w:basedOn w:val="a2"/>
    <w:link w:val="afffff9"/>
    <w:rsid w:val="002B3EF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243219730">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styles" Target="styl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notes" Target="footnotes.xml"/><Relationship Id="rId20" Type="http://schemas.openxmlformats.org/officeDocument/2006/relationships/image" Target="media/image3.jp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webSettings" Target="webSettings.xml"/><Relationship Id="rId23" Type="http://schemas.openxmlformats.org/officeDocument/2006/relationships/footer" Target="footer2.xml"/><Relationship Id="rId10" Type="http://schemas.openxmlformats.org/officeDocument/2006/relationships/customXml" Target="../customXml/item9.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settings" Target="settings.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
</file>

<file path=customXml/item10.xml><?xml version="1.0" encoding="utf-8"?>
<NewDataSet/>
</file>

<file path=customXml/item2.xml>
</file>

<file path=customXml/item3.xml>
</file>

<file path=customXml/item4.xml><?xml version="1.0" encoding="utf-8"?>
<NewDataSet/>
</file>

<file path=customXml/item5.xml>
</file>

<file path=customXml/item6.xml><?xml version="1.0" encoding="utf-8"?>
<AttendeesDS/>
</file>

<file path=customXml/item7.xml><?xml version="1.0" encoding="utf-8"?>
<SignatureDS>
  <dt_Signature>
    <UserUPN>052918075@GOV.IL</UserUPN>
    <FirstName>אשר</FirstName>
    <LastName>קולה</LastName>
    <DisplayName>אשר קולה</DisplayName>
    <SignatureGrafic>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</SignatureGrafic>
    <RoleID>65</RoleID>
    <TitleOrRoleName>שופט, סגן הנשיאה</TitleOrRoleName>
    <OrdinalNumber>1</OrdinalNumber>
  </dt_Signature>
  <dt_Signature>
    <UserUPN>069725810@GOV.IL</UserUPN>
    <FirstName>דני</FirstName>
    <LastName>צרפתי</LastName>
    <DisplayName>דני צרפתי</DisplayName>
    <SignatureGrafic>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gEAHOoHAAwIAABKJg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SignatureGrafic>
    <RoleID>11</RoleID>
    <TitleOrRoleName>שופט</TitleOrRoleName>
    <OrdinalNumber>2</OrdinalNumber>
  </dt_Signature>
  <dt_Signature>
    <UserUPN>025254186@GOV.IL</UserUPN>
    <FirstName>רננה</FirstName>
    <LastName>גלפז מוקדי</LastName>
    <DisplayName>רננה גלפז מוקדי</DisplayName>
    <SignatureGrafic>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</SignatureGrafic>
    <RoleID>16</RoleID>
    <TitleOrRoleName>שופטת</TitleOrRoleName>
    <OrdinalNumber>3</OrdinalNumber>
  </dt_Signature>
</SignatureDS>
</file>

<file path=customXml/item8.xml><?xml version="1.0" encoding="utf-8"?>
<MeetingDS>
  <dt_Meeting>
    <MeetingID>87538657</MeetingID>
    <MeetingDate>2023-07-03T00:00:00+03:00</MeetingDate>
    <StartTime>11:30     </StartTime>
    <FinishTime>12:00     </FinishTime>
    <AllDayEvent>false</AllDayEvent>
    <Label>0</Label>
    <ShowTimeAs>0</ShowTimeAs>
    <Remark/>
    <MeetingTypeID>1</MeetingTypeID>
    <UserID>301206785@GOV.IL</UserID>
    <ChangeDate>2023-06-12T15:17:24.563+03:00</ChangeDate>
    <MeetingMode>1</MeetingMode>
    <IsVCMeeting>false</IsVCMeeting>
  </dt_Meeting>
  <dt_MeetingUser>
    <MeetingID>87538657</MeetingID>
    <UserID>052918075@GOV.IL</UserID>
    <ExchangeGUID>6fa18b9e-6bc2-499b-beb8-598624c8ed1d.eml</ExchangeGUID>
    <OrdinalNumberID>0</OrdinalNumberID>
  </dt_MeetingUser>
  <dt_MeetingUser>
    <MeetingID>87538657</MeetingID>
    <UserID>069725810@GOV.IL</UserID>
    <ExchangeGUID>28169cb7-44ce-4013-9369-af9e5ce50600.eml</ExchangeGUID>
    <OrdinalNumberID>1</OrdinalNumberID>
  </dt_MeetingUser>
  <dt_MeetingUser>
    <MeetingID>87538657</MeetingID>
    <UserID>025254186@GOV.IL</UserID>
    <ExchangeGUID>82a04406-e34d-4e37-8d9a-59121444dbce.eml</ExchangeGUID>
    <OrdinalNumberID>2</OrdinalNumberID>
  </dt_MeetingUser>
  <dt_Sitting>
    <SittingID>95361335</SittingID>
    <MeetingID>87538657</MeetingID>
    <SittingTypeID>15</SittingTypeID>
    <CourtID>12</CourtID>
    <ActivatingMethodID>2</ActivatingMethodID>
    <SittingActivityStatusID>1</SittingActivityStatusID>
    <ChangeDate>2023-06-12T15:17:24.573+03:00</ChangeDate>
    <UserID>301206785@GOV.IL</UserID>
    <StartTime>11:30     </StartTime>
    <FinishTime>12:00     </FinishTime>
    <Remark/>
    <OrdinalNumber>0</OrdinalNumber>
    <RemarkSittingType/>
    <CreateDate>2023-06-12T15:17:24.56+03:00</CreateDate>
    <ProtocolSubjectID>0</ProtocolSubjectID>
    <CourtDisplayName>בית המשפט המחוזי בנצרת</CourtDisplayName>
    <IsProtocolFirst>0</IsProtocolFirst>
    <IsProtocolNotFirst>true</IsProtocolNotFirst>
    <ReadingDate>30/08/2022</ReadingDate>
    <ReadingTime>10:00</ReadingTime>
    <AccusedAnswerDate/>
    <AccusedAnswerTime/>
    <ProofDate>02/03/2023</ProofDate>
    <ProofTime>16:00</ProofTime>
    <CourtAddress>כיכר יצחק רבין היכל המשפט נוף הגליל</CourtAddress>
    <IsTitleCaseExists>1</IsTitleCaseExists>
    <ProtocolSubject/>
    <CaseTypeID>10077</CaseTypeID>
  </dt_Sitting>
  <dt_SittingCase>
    <SittingCaseID>96714938</SittingCaseID>
    <SittingID>95361335</SittingID>
    <CaseID>79508723</CaseID>
    <CaseDisplayIdentifier>18797-08-22</CaseDisplayIdentifier>
    <CaseName>מדינת ישראל נ' הייב(עציר)</CaseName>
    <CaseTypeDesc>תפ"ח</CaseTypeDesc>
    <CaseLinkType>-1</CaseLinkType>
  </dt_SittingCase>
  <dt_SittingCase>
    <SittingCaseID>-2</SittingCaseID>
    <SittingID>95361335</SittingID>
    <CaseID>79508719</CaseID>
    <CaseDisplayIdentifier>18793-08-22</CaseDisplayIdentifier>
    <CaseName>מדינת ישראל נ' הייב(עציר)</CaseName>
    <CaseTypeDesc>מ"ת</CaseTypeDesc>
    <CaseLinkType>10</CaseLinkType>
  </dt_SittingCase>
  <dt_Case>
    <CaseName>מדינת ישראל נ' הייב(עציר)</CaseName>
  </dt_Case>
  <dt_CasePartyA>
    <CasePartyID>244523033</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244523035</CasePartyID>
    <GroupPartyAlias>נאשמים</GroupPartyAlias>
    <PartyAliasID>13</PartyAliasID>
    <OrdinalNumber/>
    <FullName>עאדל הייב (עציר)</FullName>
    <FullNameAndRoleName>עאדל הייב (עציר)</FullNameAndRoleName>
    <FirstName>עאדל</FirstName>
    <LastName>הייב</LastName>
    <RoleName>נאשם 1</RoleName>
    <TypeIdentifier>ת"ז</TypeIdentifier>
    <AuthenticationNumber>029972692</AuthenticationNumber>
    <CasePartyTypeID>1</CasePartyTypeID>
    <IsPublicationProhibited>false</IsPublicationProhibited>
  </dt_CasePartyB>
  <UserMetaData>
    <UserPrincipalName/>
    <DisplayName>שופט, סגן הנשיאה אשר קולה, שופט דני צרפתי, שופטת רננה גלפז מוקדי</DisplayName>
    <UserIdentity>1</UserIdentity>
    <JudgeRoleName>שופטת</JudgeRoleName>
  </UserMetaData>
  <dt_ExternalCase>
    <ExternalCaseID>72432942</ExternalCaseID>
    <ExternalCaseNumber>1921/22</ExternalCaseNumber>
    <ExternalCaseTypeID>24</ExternalCaseTypeID>
    <ExternalCaseType>פרק</ExternalCaseType>
  </dt_ExternalCase>
</MeetingDS>
</file>

<file path=customXml/item9.xml><?xml version="1.0" encoding="utf-8"?>
<SignatureDS>
  <dt_Signature>
    <UserUPN>052918075@GOV.IL</UserUPN>
    <FirstName>אשר</FirstName>
    <LastName>קולה</LastName>
    <DisplayName>אשר קולה</DisplayName>
    <SignatureGrafic>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</SignatureGrafic>
    <RoleID>65</RoleID>
    <TitleOrRoleName>שופט, סגן הנשיאה</TitleOrRoleName>
    <OrdinalNumber>1</OrdinalNumber>
  </dt_Signature>
  <dt_Signature>
    <UserUPN>069725810@GOV.IL</UserUPN>
    <FirstName>דני</FirstName>
    <LastName>צרפתי</LastName>
    <DisplayName>דני צרפתי</DisplayName>
    <SignatureGrafic>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gEAHOoHAAwIAABKJg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SignatureGrafic>
    <RoleID>11</RoleID>
    <TitleOrRoleName>שופט</TitleOrRoleName>
    <OrdinalNumber>2</OrdinalNumber>
  </dt_Signature>
  <dt_Signature>
    <UserUPN>025254186@GOV.IL</UserUPN>
    <FirstName>רננה</FirstName>
    <LastName>גלפז מוקדי</LastName>
    <DisplayName>רננה גלפז מוקדי</DisplayName>
    <SignatureGrafic>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</SignatureGrafic>
    <RoleID>16</RoleID>
    <TitleOrRoleName>שופטת</TitleOrRoleName>
    <OrdinalNumber>3</OrdinalNumber>
  </dt_Signature>
</SignatureDS>
</file>

<file path=customXml/itemProps1.xml><?xml version="1.0" encoding="utf-8"?>
<ds:datastoreItem xmlns:ds="http://schemas.openxmlformats.org/officeDocument/2006/customXml" ds:itemID="{F3A6E311-2348-45B6-982A-72BFB752C45F}"/>
</file>

<file path=customXml/itemProps10.xml><?xml version="1.0" encoding="utf-8"?>
<ds:datastoreItem xmlns:ds="http://schemas.openxmlformats.org/officeDocument/2006/customXml" ds:itemID="{3C40BEFA-0188-4778-97AB-971414B2A1CE}">
  <ds:schemaRefs/>
</ds:datastoreItem>
</file>

<file path=customXml/itemProps2.xml><?xml version="1.0" encoding="utf-8"?>
<ds:datastoreItem xmlns:ds="http://schemas.openxmlformats.org/officeDocument/2006/customXml" ds:itemID="{E3F57B76-FA6C-449A-97AC-F1A79F3C4E7D}"/>
</file>

<file path=customXml/itemProps3.xml><?xml version="1.0" encoding="utf-8"?>
<ds:datastoreItem xmlns:ds="http://schemas.openxmlformats.org/officeDocument/2006/customXml" ds:itemID="{9FEB94F0-8308-4F80-B7BE-C840EF9CC8A7}"/>
</file>

<file path=customXml/itemProps4.xml><?xml version="1.0" encoding="utf-8"?>
<ds:datastoreItem xmlns:ds="http://schemas.openxmlformats.org/officeDocument/2006/customXml" ds:itemID="{AD09B718-D590-431A-A88B-F9225E9CE30F}">
  <ds:schemaRefs/>
</ds:datastoreItem>
</file>

<file path=customXml/itemProps5.xml><?xml version="1.0" encoding="utf-8"?>
<ds:datastoreItem xmlns:ds="http://schemas.openxmlformats.org/officeDocument/2006/customXml" ds:itemID="{F22ACA17-A0DC-4BF2-A48C-D7D9D32D7865}"/>
</file>

<file path=customXml/itemProps6.xml><?xml version="1.0" encoding="utf-8"?>
<ds:datastoreItem xmlns:ds="http://schemas.openxmlformats.org/officeDocument/2006/customXml" ds:itemID="{C55F3AAE-1593-4FE0-9E9B-F67AEDF94E48}">
  <ds:schemaRefs/>
</ds:datastoreItem>
</file>

<file path=customXml/itemProps7.xml><?xml version="1.0" encoding="utf-8"?>
<ds:datastoreItem xmlns:ds="http://schemas.openxmlformats.org/officeDocument/2006/customXml" ds:itemID="{26020047-3572-4ED1-B1E9-09B482B65817}">
  <ds:schemaRefs/>
</ds:datastoreItem>
</file>

<file path=customXml/itemProps8.xml><?xml version="1.0" encoding="utf-8"?>
<ds:datastoreItem xmlns:ds="http://schemas.openxmlformats.org/officeDocument/2006/customXml" ds:itemID="{164446D4-C7CB-4035-99A4-E5BCF32562F1}">
  <ds:schemaRefs/>
</ds:datastoreItem>
</file>

<file path=customXml/itemProps9.xml><?xml version="1.0" encoding="utf-8"?>
<ds:datastoreItem xmlns:ds="http://schemas.openxmlformats.org/officeDocument/2006/customXml" ds:itemID="{E01F4C1D-4B95-4D67-8748-17FC967E908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2485</Words>
  <Characters>12427</Characters>
  <Application>Microsoft Office Word</Application>
  <DocSecurity>4</DocSecurity>
  <Lines>103</Lines>
  <Paragraphs>29</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2023-07-03T08:50:00Z</cp:lastPrinted>
  <dcterms:created xsi:type="dcterms:W3CDTF">2023-07-04T09:12:00Z</dcterms:created>
  <dcterms:modified xsi:type="dcterms:W3CDTF">2023-07-04T09:12:00Z</dcterms:modified>
</cp:coreProperties>
</file>